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0" w:name="ea0302239-s3_niki.htm"/>
      <w:bookmarkStart w:id="1" w:name="ksea0302239s3_niki"/>
      <w:bookmarkEnd w:id="0"/>
      <w:bookmarkEnd w:id="1"/>
      <w:r>
        <w:rPr>
          <w:rFonts w:ascii="Times New Roman;Times;Serif" w:hAnsi="Times New Roman;Times;Serif"/>
          <w:b/>
          <w:i w:val="false"/>
          <w:caps w:val="false"/>
          <w:smallCaps w:val="false"/>
          <w:sz w:val="20"/>
        </w:rPr>
        <w:t>AS FILED WITH THE SECURITIES AND EXCHANGE COMMISSION ON AUGUST 27, 2026</w:t>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REGISTRATION NO. 333-[  ]</w:t>
      </w:r>
    </w:p>
    <w:p>
      <w:pPr>
        <w:pStyle w:val="TextBody"/>
        <w:bidi w:val="0"/>
        <w:jc w:val="left"/>
        <w:rPr>
          <w:bdr w:val="single" w:sz="16" w:space="1" w:color="000000"/>
        </w:rPr>
      </w:pPr>
      <w:r>
        <w:rPr>
          <w:bdr w:val="single" w:sz="16"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UNITED STATES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SECURITIES AND EXCHANGE COMMISSION</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Washington, D.C. 20549</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Pre-Effective Amendment 1</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to</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FORM S-3</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REGISTRATION STATEMENT UNDER THE SECURITIES ACT OF 1933</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Niki BioSolutions, Inc.</w:t>
      </w:r>
    </w:p>
    <w:p>
      <w:pPr>
        <w:pStyle w:val="TextBody"/>
        <w:shd w:fill="FFFFFF" w:val="clear"/>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(Exact name of registrant as specified in its charter)</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Delaware</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(State or other jurisdiction of</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incorporation or organization)</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42-3265309</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I.R.S. Employer Identification Number</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116 Village Boulevard, Suite 200</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Princeton, NJ 08540</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Tel: 609-951-2222</w:t>
      </w:r>
    </w:p>
    <w:p>
      <w:pPr>
        <w:pStyle w:val="TextBody"/>
        <w:shd w:fill="FFFFFF" w:val="clear"/>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(Address, including zip code, and telephone number, including area code of registrant’s principal executive offices)</w:t>
      </w:r>
    </w:p>
    <w:p>
      <w:pPr>
        <w:pStyle w:val="TextBody"/>
        <w:shd w:fill="FFFFFF" w:val="clear"/>
        <w:bidi w:val="0"/>
        <w:spacing w:before="0" w:after="0"/>
        <w:ind w:left="0" w:right="0" w:hanging="0"/>
        <w:jc w:val="center"/>
        <w:rPr>
          <w:caps w:val="false"/>
          <w:smallCaps w:val="false"/>
        </w:rPr>
      </w:pPr>
      <w:r>
        <w:rPr>
          <w:caps w:val="false"/>
          <w:smallCaps w:val="false"/>
        </w:rPr>
        <w:t> </w:t>
      </w:r>
    </w:p>
    <w:p>
      <w:pPr>
        <w:pStyle w:val="TextBody"/>
        <w:shd w:fill="FFFFFF" w:val="clea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Ian Huen</w:t>
      </w:r>
    </w:p>
    <w:p>
      <w:pPr>
        <w:pStyle w:val="TextBody"/>
        <w:shd w:fill="FFFFFF" w:val="clea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Chief Executive Officer</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116 Village Boulevard, Suite 200</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Princeton, NJ 08540</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Tel: 609-951-2222</w:t>
      </w:r>
    </w:p>
    <w:p>
      <w:pPr>
        <w:pStyle w:val="TextBody"/>
        <w:shd w:fill="FFFFFF" w:val="clear"/>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 address, including zip code, and telephone number, including area code, of agent for service)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Copies to:</w:t>
      </w:r>
    </w:p>
    <w:p>
      <w:pPr>
        <w:pStyle w:val="TextBody"/>
        <w:bidi w:val="0"/>
        <w:spacing w:before="0" w:after="0"/>
        <w:ind w:left="0" w:right="0" w:hanging="0"/>
        <w:jc w:val="center"/>
        <w:rPr>
          <w:caps w:val="false"/>
          <w:smallCaps w:val="false"/>
        </w:rPr>
      </w:pPr>
      <w:r>
        <w:rPr>
          <w:caps w:val="false"/>
          <w:smallCaps w:val="false"/>
        </w:rPr>
        <w:t> </w:t>
      </w:r>
    </w:p>
    <w:p>
      <w:pPr>
        <w:pStyle w:val="TextBody"/>
        <w:shd w:fill="FFFFFF" w:val="clea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Louis Taubman, Esq.</w:t>
      </w:r>
    </w:p>
    <w:p>
      <w:pPr>
        <w:pStyle w:val="TextBody"/>
        <w:shd w:fill="FFFFFF" w:val="clea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Hunter Taubman Fischer &amp; Li LLC</w:t>
      </w:r>
    </w:p>
    <w:p>
      <w:pPr>
        <w:pStyle w:val="TextBody"/>
        <w:shd w:fill="FFFFFF" w:val="clea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950 Third Avenue, 19th Floor </w:t>
      </w:r>
    </w:p>
    <w:p>
      <w:pPr>
        <w:pStyle w:val="TextBody"/>
        <w:shd w:fill="FFFFFF" w:val="clea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New York, NY 10022</w:t>
      </w:r>
    </w:p>
    <w:p>
      <w:pPr>
        <w:pStyle w:val="TextBody"/>
        <w:shd w:fill="FFFFFF" w:val="clea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(212) 530-2206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Approximate date of commencement of proposed sale to the public: From time to time after the effective date of this registration statement.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only securities being registered on this Form are being offered pursuant to dividend or interest reinvestment plans, please check the following box: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any of the securities being registered on this Form are to be offered on a delayed or continuous basis pursuant to Rule 415 under the Securities Act of 1933, other than securities offered only in connection with dividend or interest reinvestment plans, check the following box: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this Form is filed to register additional securities for an offering pursuant to Rule 462(b) under the Securities Act, please check the following and list the Securities Act registration statement number of the earlier effective registration statement for the same offering.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this Form is a post-effective amendment filed pursuant to Rule 462(c) under the Securities Act, check the following box and list the Securities Act registration statement number of the earlier effective registration statement for the same offering.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this Form is a registration statement pursuant to General Instruction I.D. or a post-effective amendment thereto that shall become effective upon filing with the Commission pursuant to Rule 462(e) under the Securities Act, check the following box.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this Form is a post-effective amendment to a registration statement filed pursuant to General Instruction I.D. filed to register additional securities or additional classes of securities pursuant to Rule 413(b) under the Securities Act, check the following box.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pStyle w:val="TextBody"/>
        <w:bidi w:val="0"/>
        <w:spacing w:before="0" w:after="0"/>
        <w:ind w:left="0" w:right="0" w:hanging="0"/>
        <w:jc w:val="both"/>
        <w:rPr>
          <w:caps w:val="false"/>
          <w:smallCaps w:val="false"/>
        </w:rPr>
      </w:pPr>
      <w:r>
        <w:rPr>
          <w:caps w:val="false"/>
          <w:smallCaps w:val="false"/>
        </w:rPr>
        <w:t> </w:t>
      </w:r>
    </w:p>
    <w:tbl>
      <w:tblPr>
        <w:tblW w:w="4535" w:type="dxa"/>
        <w:jc w:val="left"/>
        <w:tblInd w:w="0" w:type="dxa"/>
        <w:tblLayout w:type="fixed"/>
        <w:tblCellMar>
          <w:top w:w="0" w:type="dxa"/>
          <w:left w:w="0" w:type="dxa"/>
          <w:bottom w:w="0" w:type="dxa"/>
          <w:right w:w="0" w:type="dxa"/>
        </w:tblCellMar>
      </w:tblPr>
      <w:tblGrid>
        <w:gridCol w:w="1835"/>
        <w:gridCol w:w="230"/>
        <w:gridCol w:w="2225"/>
        <w:gridCol w:w="245"/>
      </w:tblGrid>
      <w:tr>
        <w:trPr/>
        <w:tc>
          <w:tcPr>
            <w:tcW w:w="1835" w:type="dxa"/>
            <w:tcBorders/>
            <w:vAlign w:val="center"/>
          </w:tcPr>
          <w:p>
            <w:pPr>
              <w:pStyle w:val="TableContents"/>
              <w:bidi w:val="0"/>
              <w:spacing w:before="0" w:after="283"/>
              <w:jc w:val="left"/>
              <w:rPr>
                <w:sz w:val="20"/>
              </w:rPr>
            </w:pPr>
            <w:r>
              <w:rPr>
                <w:sz w:val="20"/>
              </w:rPr>
              <w:t>Large accelerated filer</w:t>
            </w:r>
          </w:p>
        </w:tc>
        <w:tc>
          <w:tcPr>
            <w:tcW w:w="230" w:type="dxa"/>
            <w:tcBorders/>
            <w:vAlign w:val="center"/>
          </w:tcPr>
          <w:p>
            <w:pPr>
              <w:pStyle w:val="TableContents"/>
              <w:bidi w:val="0"/>
              <w:spacing w:before="0" w:after="283"/>
              <w:jc w:val="left"/>
              <w:rPr/>
            </w:pPr>
            <w:r>
              <w:rPr/>
              <w:t>☐</w:t>
            </w:r>
          </w:p>
        </w:tc>
        <w:tc>
          <w:tcPr>
            <w:tcW w:w="2225" w:type="dxa"/>
            <w:tcBorders/>
            <w:vAlign w:val="center"/>
          </w:tcPr>
          <w:p>
            <w:pPr>
              <w:pStyle w:val="TableContents"/>
              <w:bidi w:val="0"/>
              <w:spacing w:before="0" w:after="283"/>
              <w:jc w:val="left"/>
              <w:rPr>
                <w:sz w:val="20"/>
              </w:rPr>
            </w:pPr>
            <w:r>
              <w:rPr>
                <w:sz w:val="20"/>
              </w:rPr>
              <w:t>Accelerated filer</w:t>
            </w:r>
          </w:p>
        </w:tc>
        <w:tc>
          <w:tcPr>
            <w:tcW w:w="245" w:type="dxa"/>
            <w:tcBorders/>
            <w:vAlign w:val="center"/>
          </w:tcPr>
          <w:p>
            <w:pPr>
              <w:pStyle w:val="TableContents"/>
              <w:bidi w:val="0"/>
              <w:spacing w:before="0" w:after="283"/>
              <w:jc w:val="left"/>
              <w:rPr/>
            </w:pPr>
            <w:r>
              <w:rPr/>
              <w:t>☐</w:t>
            </w:r>
          </w:p>
        </w:tc>
      </w:tr>
      <w:tr>
        <w:trPr/>
        <w:tc>
          <w:tcPr>
            <w:tcW w:w="1835" w:type="dxa"/>
            <w:tcBorders/>
            <w:vAlign w:val="center"/>
          </w:tcPr>
          <w:p>
            <w:pPr>
              <w:pStyle w:val="TableContents"/>
              <w:bidi w:val="0"/>
              <w:spacing w:before="0" w:after="283"/>
              <w:jc w:val="left"/>
              <w:rPr>
                <w:sz w:val="20"/>
              </w:rPr>
            </w:pPr>
            <w:r>
              <w:rPr>
                <w:sz w:val="20"/>
              </w:rPr>
              <w:t>Non-accelerated filer</w:t>
            </w:r>
          </w:p>
        </w:tc>
        <w:tc>
          <w:tcPr>
            <w:tcW w:w="230" w:type="dxa"/>
            <w:tcBorders/>
            <w:vAlign w:val="center"/>
          </w:tcPr>
          <w:p>
            <w:pPr>
              <w:pStyle w:val="TableContents"/>
              <w:bidi w:val="0"/>
              <w:spacing w:before="0" w:after="283"/>
              <w:jc w:val="left"/>
              <w:rPr/>
            </w:pPr>
            <w:r>
              <w:rPr/>
              <w:t>☒</w:t>
            </w:r>
          </w:p>
        </w:tc>
        <w:tc>
          <w:tcPr>
            <w:tcW w:w="2225" w:type="dxa"/>
            <w:tcBorders/>
            <w:vAlign w:val="center"/>
          </w:tcPr>
          <w:p>
            <w:pPr>
              <w:pStyle w:val="TableContents"/>
              <w:bidi w:val="0"/>
              <w:spacing w:before="0" w:after="283"/>
              <w:jc w:val="left"/>
              <w:rPr>
                <w:sz w:val="20"/>
              </w:rPr>
            </w:pPr>
            <w:r>
              <w:rPr>
                <w:sz w:val="20"/>
              </w:rPr>
              <w:t>Smaller reporting company</w:t>
            </w:r>
          </w:p>
        </w:tc>
        <w:tc>
          <w:tcPr>
            <w:tcW w:w="245" w:type="dxa"/>
            <w:tcBorders/>
            <w:vAlign w:val="center"/>
          </w:tcPr>
          <w:p>
            <w:pPr>
              <w:pStyle w:val="TableContents"/>
              <w:bidi w:val="0"/>
              <w:spacing w:before="0" w:after="283"/>
              <w:jc w:val="left"/>
              <w:rPr/>
            </w:pPr>
            <w:r>
              <w:rPr/>
              <w:t>☒</w:t>
            </w:r>
          </w:p>
        </w:tc>
      </w:tr>
      <w:tr>
        <w:trPr/>
        <w:tc>
          <w:tcPr>
            <w:tcW w:w="2065" w:type="dxa"/>
            <w:gridSpan w:val="2"/>
            <w:tcBorders/>
            <w:vAlign w:val="center"/>
          </w:tcPr>
          <w:p>
            <w:pPr>
              <w:pStyle w:val="TableContents"/>
              <w:bidi w:val="0"/>
              <w:spacing w:before="0" w:after="283"/>
              <w:jc w:val="left"/>
              <w:rPr/>
            </w:pPr>
            <w:r>
              <w:rPr/>
              <w:t> </w:t>
            </w:r>
          </w:p>
        </w:tc>
        <w:tc>
          <w:tcPr>
            <w:tcW w:w="2225" w:type="dxa"/>
            <w:tcBorders/>
            <w:vAlign w:val="center"/>
          </w:tcPr>
          <w:p>
            <w:pPr>
              <w:pStyle w:val="TableContents"/>
              <w:bidi w:val="0"/>
              <w:spacing w:before="0" w:after="283"/>
              <w:jc w:val="left"/>
              <w:rPr>
                <w:sz w:val="20"/>
              </w:rPr>
            </w:pPr>
            <w:r>
              <w:rPr>
                <w:sz w:val="20"/>
              </w:rPr>
              <w:t>Emerging growth company</w:t>
            </w:r>
          </w:p>
        </w:tc>
        <w:tc>
          <w:tcPr>
            <w:tcW w:w="245" w:type="dxa"/>
            <w:tcBorders/>
            <w:vAlign w:val="center"/>
          </w:tcPr>
          <w:p>
            <w:pPr>
              <w:pStyle w:val="TableContents"/>
              <w:bidi w:val="0"/>
              <w:spacing w:before="0" w:after="283"/>
              <w:jc w:val="left"/>
              <w:rPr/>
            </w:pPr>
            <w:r>
              <w:rPr/>
              <w:t>☐</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 emerging growth company, indicate by check mark if the registrant has elected not to use the extended transition period for complying with any new or revised financial accounting standards provided pursuant to Section 7(a)(2)(B) of Securities Act.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The registrant hereby amends this Registration Statement on such date or dates as may be necessary to delay its effective date until the registrant shall file a further amendment which specifically states that this Registration Statement shall thereafter become effective in accordance with Section 8(a) of the Securities Act of 1933 or until the Registration Statement shall become effective on such date as the Commission, acting pursuant to said Section 8(a), may determine.</w:t>
      </w:r>
    </w:p>
    <w:p>
      <w:pPr>
        <w:pStyle w:val="TextBody"/>
        <w:bidi w:val="0"/>
        <w:spacing w:before="0" w:after="0"/>
        <w:ind w:left="0" w:right="0" w:hanging="0"/>
        <w:jc w:val="both"/>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EXPLANATORY NOTE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Niki BioSolutions, Inc. (the “Registrant”) is filing this Registration Statement on Form S-3, as amended by this pre-effective Amendment No. 1, to replace its prior shelf registration statements on Form F-3 (File No. 333-292793) (the “F-3 Filing”) since the Registrant is no longer deemed to be a foreign private issuer as defined in Rule 405 of the Securities Act of 1933, as amended. No shares were sold under the F-3 Filing.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color w:val="FF0000"/>
          <w:sz w:val="20"/>
        </w:rPr>
      </w:pPr>
      <w:r>
        <w:rPr>
          <w:rFonts w:ascii="Times New Roman;Times;Serif" w:hAnsi="Times New Roman;Times;Serif"/>
          <w:b w:val="false"/>
          <w:i w:val="false"/>
          <w:caps w:val="false"/>
          <w:smallCaps w:val="false"/>
          <w:color w:val="FF0000"/>
          <w:sz w:val="20"/>
        </w:rPr>
        <w:t>The information in this prospectus is not complete and may be changed. We may not sell these securities until the registration statement relating to these securities that has been filed with the Securities and Exchange Commission is effective. This prospectus is not an offer to sell these securities and it is not soliciting an offer to buy these securities in any state where the offer or sale is not permitted.</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color w:val="FF0000"/>
          <w:sz w:val="20"/>
        </w:rPr>
      </w:pPr>
      <w:r>
        <w:rPr>
          <w:rFonts w:ascii="Times New Roman;Times;Serif" w:hAnsi="Times New Roman;Times;Serif"/>
          <w:b w:val="false"/>
          <w:i w:val="false"/>
          <w:caps w:val="false"/>
          <w:smallCaps w:val="false"/>
          <w:color w:val="FF0000"/>
          <w:sz w:val="20"/>
        </w:rPr>
        <w:t>(Subject to Completion, dated [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PRELIMINARY PROSPECTUS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$75,000,000</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Niki BioSolutions, Inc.</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Common Stock</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Preferred Stock</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Warrants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Subscription Rights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Debt Securities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Units</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from time to time, in one or more offerings at prices and on terms that we will determine at the time of each offering, sell Common Stock, preferred stock, warrants, subscription rights, debt securities, units, or a combination of these securities, for an aggregate offering price of up to $75,000,000. This prospectus describes the general manner in which our securities may be offered using this prospectus. Each time we offer and sell securities, we will provide you with a prospectus supplement that will contain specific information about the terms of that offering. Any prospectus supplement may also add, update, or change information contained in this prospectus. You should carefully read this prospectus and the applicable prospectus supplement as well as the documents incorporated or deemed to be incorporated by reference in this prospectus before you purchase any of the securities offered hereby.</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prospectus may not be used to offer and sell securities unless accompanied by a prospectus supplement.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Common Stock, par value $0.0001 per share (the “Common Stock”), is currently listed on the Nasdaq Capital Market under the symbol “NIKI”. As of the date of this prospectus, none of the other securities that we may offer by this prospectus is listed on any national securities exchange or automated quotation system.</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August 25, 2026, the aggregate market value of our Common Stock held by non-affiliates was $20,422,681, based on 2,723,024 shares of outstanding Common Stock held by non-affiliates and the closing price of $7.91 on August 25, 2026.</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General Instruction I.B.6 of Form S-3, in no event will we sell our securities in a public primary offering with a value exceeding more than one-third of our public float in any 12-month period so long as our public float remains below $75,000,000. We have not offered any securities pursuant to General Instruction I.B.6 of Form S-3 during the 12 calendar months prior to and including the date of this prospectus.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The securities offered by this prospectus involve a high degree of risk. See “Risk Factors” beginning on page 2, in addition to Risk Factors contained in the applicable prospectus supplement.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offer the securities directly or through agents or to or through underwriters or dealers. If any agents or underwriters are involved in the sale of the securities their names, and any applicable purchase price, fee, commission, or discount arrangement between or among them, will be set forth, or will be calculable from the information set forth, in an accompanying prospectus supplement. We can sell the securities through agents, underwriters, or dealers only with delivery of a prospectus supplement describing the method and terms of the offering of such securities. See “Plan of Distribution.”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Neither the Securities and Exchange Commission nor any state securities commission has approved or disapproved of these securities or determined if this prospectus is truthful or complete. Any representation to the contrary is a criminal offense.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prospectus is dated August 27, 2026</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Table of Contents</w:t>
      </w:r>
    </w:p>
    <w:p>
      <w:pPr>
        <w:pStyle w:val="TextBody"/>
        <w:bidi w:val="0"/>
        <w:spacing w:before="0" w:after="0"/>
        <w:ind w:left="0" w:right="0" w:hanging="0"/>
        <w:jc w:val="center"/>
        <w:rPr>
          <w:caps w:val="false"/>
          <w:smallCaps w:val="false"/>
        </w:rPr>
      </w:pPr>
      <w:r>
        <w:rPr>
          <w:caps w:val="false"/>
          <w:smallCaps w:val="false"/>
        </w:rPr>
        <w:t> </w:t>
      </w:r>
    </w:p>
    <w:tbl>
      <w:tblPr>
        <w:tblW w:w="7420" w:type="dxa"/>
        <w:jc w:val="left"/>
        <w:tblInd w:w="0" w:type="dxa"/>
        <w:tblLayout w:type="fixed"/>
        <w:tblCellMar>
          <w:top w:w="0" w:type="dxa"/>
          <w:left w:w="0" w:type="dxa"/>
          <w:bottom w:w="0" w:type="dxa"/>
          <w:right w:w="0" w:type="dxa"/>
        </w:tblCellMar>
      </w:tblPr>
      <w:tblGrid>
        <w:gridCol w:w="6890"/>
        <w:gridCol w:w="530"/>
      </w:tblGrid>
      <w:tr>
        <w:trPr/>
        <w:tc>
          <w:tcPr>
            <w:tcW w:w="6890" w:type="dxa"/>
            <w:tcBorders/>
            <w:vAlign w:val="center"/>
          </w:tcPr>
          <w:p>
            <w:pPr>
              <w:pStyle w:val="TableContents"/>
              <w:bidi w:val="0"/>
              <w:spacing w:before="0" w:after="283"/>
              <w:jc w:val="left"/>
              <w:rPr/>
            </w:pPr>
            <w:r>
              <w:rPr/>
              <w:t> </w:t>
            </w:r>
          </w:p>
        </w:tc>
        <w:tc>
          <w:tcPr>
            <w:tcW w:w="530" w:type="dxa"/>
            <w:tcBorders>
              <w:bottom w:val="single" w:sz="12" w:space="0" w:color="000000"/>
            </w:tcBorders>
            <w:tcMar>
              <w:bottom w:w="28" w:type="dxa"/>
            </w:tcMar>
            <w:vAlign w:val="center"/>
          </w:tcPr>
          <w:p>
            <w:pPr>
              <w:pStyle w:val="TableContents"/>
              <w:bidi w:val="0"/>
              <w:spacing w:before="0" w:after="283"/>
              <w:jc w:val="center"/>
              <w:rPr>
                <w:b/>
              </w:rPr>
            </w:pPr>
            <w:r>
              <w:rPr>
                <w:b/>
              </w:rPr>
              <w:t>Page</w:t>
            </w:r>
          </w:p>
        </w:tc>
      </w:tr>
      <w:tr>
        <w:trPr/>
        <w:tc>
          <w:tcPr>
            <w:tcW w:w="6890" w:type="dxa"/>
            <w:tcBorders/>
            <w:vAlign w:val="center"/>
          </w:tcPr>
          <w:p>
            <w:pPr>
              <w:pStyle w:val="TableContents"/>
              <w:bidi w:val="0"/>
              <w:spacing w:before="0" w:after="283"/>
              <w:jc w:val="left"/>
              <w:rPr/>
            </w:pPr>
            <w:r>
              <w:rPr/>
              <w:t> </w:t>
            </w:r>
          </w:p>
        </w:tc>
        <w:tc>
          <w:tcPr>
            <w:tcW w:w="530" w:type="dxa"/>
            <w:tcBorders/>
            <w:vAlign w:val="center"/>
          </w:tcPr>
          <w:p>
            <w:pPr>
              <w:pStyle w:val="TableContents"/>
              <w:bidi w:val="0"/>
              <w:spacing w:before="0" w:after="283"/>
              <w:jc w:val="center"/>
              <w:rPr/>
            </w:pPr>
            <w:r>
              <w:rPr/>
              <w:t> </w:t>
            </w:r>
          </w:p>
        </w:tc>
      </w:tr>
      <w:tr>
        <w:trPr/>
        <w:tc>
          <w:tcPr>
            <w:tcW w:w="6890" w:type="dxa"/>
            <w:tcBorders/>
            <w:shd w:fill="CCEEFF" w:val="clear"/>
            <w:vAlign w:val="center"/>
          </w:tcPr>
          <w:p>
            <w:pPr>
              <w:pStyle w:val="TableContents"/>
              <w:bidi w:val="0"/>
              <w:spacing w:before="0" w:after="283"/>
              <w:jc w:val="left"/>
              <w:rPr/>
            </w:pPr>
            <w:hyperlink w:anchor="a_001">
              <w:r>
                <w:rPr>
                  <w:rStyle w:val="InternetLink"/>
                  <w:sz w:val="20"/>
                </w:rPr>
                <w:t>ABOUT THIS PROSPECTUS</w:t>
              </w:r>
            </w:hyperlink>
          </w:p>
        </w:tc>
        <w:tc>
          <w:tcPr>
            <w:tcW w:w="530" w:type="dxa"/>
            <w:tcBorders/>
            <w:shd w:fill="CCEEFF" w:val="clear"/>
            <w:vAlign w:val="center"/>
          </w:tcPr>
          <w:p>
            <w:pPr>
              <w:pStyle w:val="TableContents"/>
              <w:bidi w:val="0"/>
              <w:spacing w:before="0" w:after="283"/>
              <w:jc w:val="center"/>
              <w:rPr/>
            </w:pPr>
            <w:r>
              <w:rPr/>
              <w:t>ii</w:t>
            </w:r>
          </w:p>
        </w:tc>
      </w:tr>
      <w:tr>
        <w:trPr/>
        <w:tc>
          <w:tcPr>
            <w:tcW w:w="6890" w:type="dxa"/>
            <w:tcBorders/>
            <w:shd w:fill="FFFFFF" w:val="clear"/>
            <w:vAlign w:val="center"/>
          </w:tcPr>
          <w:p>
            <w:pPr>
              <w:pStyle w:val="TableContents"/>
              <w:bidi w:val="0"/>
              <w:spacing w:before="0" w:after="283"/>
              <w:jc w:val="left"/>
              <w:rPr/>
            </w:pPr>
            <w:r>
              <w:rPr/>
              <w:t> </w:t>
            </w:r>
          </w:p>
        </w:tc>
        <w:tc>
          <w:tcPr>
            <w:tcW w:w="530" w:type="dxa"/>
            <w:tcBorders/>
            <w:shd w:fill="FFFFFF" w:val="clear"/>
            <w:vAlign w:val="center"/>
          </w:tcPr>
          <w:p>
            <w:pPr>
              <w:pStyle w:val="TableContents"/>
              <w:bidi w:val="0"/>
              <w:spacing w:before="0" w:after="283"/>
              <w:jc w:val="center"/>
              <w:rPr/>
            </w:pPr>
            <w:r>
              <w:rPr/>
              <w:t> </w:t>
            </w:r>
          </w:p>
        </w:tc>
      </w:tr>
      <w:tr>
        <w:trPr/>
        <w:tc>
          <w:tcPr>
            <w:tcW w:w="6890" w:type="dxa"/>
            <w:tcBorders/>
            <w:shd w:fill="CCEEFF" w:val="clear"/>
            <w:vAlign w:val="center"/>
          </w:tcPr>
          <w:p>
            <w:pPr>
              <w:pStyle w:val="TableContents"/>
              <w:bidi w:val="0"/>
              <w:spacing w:before="0" w:after="283"/>
              <w:jc w:val="left"/>
              <w:rPr/>
            </w:pPr>
            <w:hyperlink w:anchor="a_002">
              <w:r>
                <w:rPr>
                  <w:rStyle w:val="InternetLink"/>
                  <w:sz w:val="20"/>
                </w:rPr>
                <w:t>CAUTIONARY STATEMENT REGARDING FORWARD-LOOKING STATEMENTS</w:t>
              </w:r>
            </w:hyperlink>
          </w:p>
        </w:tc>
        <w:tc>
          <w:tcPr>
            <w:tcW w:w="530" w:type="dxa"/>
            <w:tcBorders/>
            <w:shd w:fill="CCEEFF" w:val="clear"/>
            <w:vAlign w:val="center"/>
          </w:tcPr>
          <w:p>
            <w:pPr>
              <w:pStyle w:val="TableContents"/>
              <w:bidi w:val="0"/>
              <w:spacing w:before="0" w:after="283"/>
              <w:jc w:val="center"/>
              <w:rPr/>
            </w:pPr>
            <w:r>
              <w:rPr/>
              <w:t>iii</w:t>
            </w:r>
          </w:p>
        </w:tc>
      </w:tr>
      <w:tr>
        <w:trPr/>
        <w:tc>
          <w:tcPr>
            <w:tcW w:w="6890" w:type="dxa"/>
            <w:tcBorders/>
            <w:shd w:fill="FFFFFF" w:val="clear"/>
            <w:vAlign w:val="center"/>
          </w:tcPr>
          <w:p>
            <w:pPr>
              <w:pStyle w:val="TableContents"/>
              <w:bidi w:val="0"/>
              <w:spacing w:before="0" w:after="283"/>
              <w:jc w:val="left"/>
              <w:rPr/>
            </w:pPr>
            <w:r>
              <w:rPr/>
              <w:t> </w:t>
            </w:r>
          </w:p>
        </w:tc>
        <w:tc>
          <w:tcPr>
            <w:tcW w:w="530" w:type="dxa"/>
            <w:tcBorders/>
            <w:shd w:fill="FFFFFF" w:val="clear"/>
            <w:vAlign w:val="center"/>
          </w:tcPr>
          <w:p>
            <w:pPr>
              <w:pStyle w:val="TableContents"/>
              <w:bidi w:val="0"/>
              <w:spacing w:before="0" w:after="283"/>
              <w:jc w:val="center"/>
              <w:rPr/>
            </w:pPr>
            <w:r>
              <w:rPr/>
              <w:t> </w:t>
            </w:r>
          </w:p>
        </w:tc>
      </w:tr>
      <w:tr>
        <w:trPr/>
        <w:tc>
          <w:tcPr>
            <w:tcW w:w="6890" w:type="dxa"/>
            <w:tcBorders/>
            <w:shd w:fill="CCEEFF" w:val="clear"/>
            <w:vAlign w:val="center"/>
          </w:tcPr>
          <w:p>
            <w:pPr>
              <w:pStyle w:val="TableContents"/>
              <w:bidi w:val="0"/>
              <w:spacing w:before="0" w:after="283"/>
              <w:jc w:val="left"/>
              <w:rPr/>
            </w:pPr>
            <w:hyperlink w:anchor="a_003">
              <w:r>
                <w:rPr>
                  <w:rStyle w:val="InternetLink"/>
                  <w:sz w:val="20"/>
                </w:rPr>
                <w:t>ABOUT NIKI</w:t>
              </w:r>
            </w:hyperlink>
          </w:p>
        </w:tc>
        <w:tc>
          <w:tcPr>
            <w:tcW w:w="530" w:type="dxa"/>
            <w:tcBorders/>
            <w:shd w:fill="CCEEFF" w:val="clear"/>
            <w:vAlign w:val="center"/>
          </w:tcPr>
          <w:p>
            <w:pPr>
              <w:pStyle w:val="TableContents"/>
              <w:bidi w:val="0"/>
              <w:spacing w:before="0" w:after="283"/>
              <w:jc w:val="center"/>
              <w:rPr/>
            </w:pPr>
            <w:r>
              <w:rPr/>
              <w:t>1</w:t>
            </w:r>
          </w:p>
        </w:tc>
      </w:tr>
      <w:tr>
        <w:trPr/>
        <w:tc>
          <w:tcPr>
            <w:tcW w:w="6890" w:type="dxa"/>
            <w:tcBorders/>
            <w:shd w:fill="FFFFFF" w:val="clear"/>
            <w:vAlign w:val="center"/>
          </w:tcPr>
          <w:p>
            <w:pPr>
              <w:pStyle w:val="TableContents"/>
              <w:bidi w:val="0"/>
              <w:spacing w:before="0" w:after="283"/>
              <w:jc w:val="left"/>
              <w:rPr/>
            </w:pPr>
            <w:r>
              <w:rPr/>
              <w:t> </w:t>
            </w:r>
          </w:p>
        </w:tc>
        <w:tc>
          <w:tcPr>
            <w:tcW w:w="530" w:type="dxa"/>
            <w:tcBorders/>
            <w:shd w:fill="FFFFFF" w:val="clear"/>
            <w:vAlign w:val="center"/>
          </w:tcPr>
          <w:p>
            <w:pPr>
              <w:pStyle w:val="TableContents"/>
              <w:bidi w:val="0"/>
              <w:spacing w:before="0" w:after="283"/>
              <w:jc w:val="center"/>
              <w:rPr/>
            </w:pPr>
            <w:r>
              <w:rPr/>
              <w:t> </w:t>
            </w:r>
          </w:p>
        </w:tc>
      </w:tr>
      <w:tr>
        <w:trPr/>
        <w:tc>
          <w:tcPr>
            <w:tcW w:w="6890" w:type="dxa"/>
            <w:tcBorders/>
            <w:shd w:fill="CCEEFF" w:val="clear"/>
            <w:vAlign w:val="center"/>
          </w:tcPr>
          <w:p>
            <w:pPr>
              <w:pStyle w:val="TableContents"/>
              <w:bidi w:val="0"/>
              <w:spacing w:before="0" w:after="283"/>
              <w:jc w:val="left"/>
              <w:rPr/>
            </w:pPr>
            <w:hyperlink w:anchor="a_004">
              <w:r>
                <w:rPr>
                  <w:rStyle w:val="InternetLink"/>
                  <w:sz w:val="20"/>
                </w:rPr>
                <w:t>RISK FACTORS</w:t>
              </w:r>
            </w:hyperlink>
          </w:p>
        </w:tc>
        <w:tc>
          <w:tcPr>
            <w:tcW w:w="530" w:type="dxa"/>
            <w:tcBorders/>
            <w:shd w:fill="CCEEFF" w:val="clear"/>
            <w:vAlign w:val="center"/>
          </w:tcPr>
          <w:p>
            <w:pPr>
              <w:pStyle w:val="TableContents"/>
              <w:bidi w:val="0"/>
              <w:spacing w:before="0" w:after="283"/>
              <w:jc w:val="center"/>
              <w:rPr/>
            </w:pPr>
            <w:r>
              <w:rPr/>
              <w:t>2</w:t>
            </w:r>
          </w:p>
        </w:tc>
      </w:tr>
      <w:tr>
        <w:trPr/>
        <w:tc>
          <w:tcPr>
            <w:tcW w:w="6890" w:type="dxa"/>
            <w:tcBorders/>
            <w:shd w:fill="FFFFFF" w:val="clear"/>
            <w:vAlign w:val="center"/>
          </w:tcPr>
          <w:p>
            <w:pPr>
              <w:pStyle w:val="TableContents"/>
              <w:bidi w:val="0"/>
              <w:spacing w:before="0" w:after="283"/>
              <w:jc w:val="left"/>
              <w:rPr/>
            </w:pPr>
            <w:r>
              <w:rPr/>
              <w:t> </w:t>
            </w:r>
          </w:p>
        </w:tc>
        <w:tc>
          <w:tcPr>
            <w:tcW w:w="530" w:type="dxa"/>
            <w:tcBorders/>
            <w:shd w:fill="FFFFFF" w:val="clear"/>
            <w:vAlign w:val="center"/>
          </w:tcPr>
          <w:p>
            <w:pPr>
              <w:pStyle w:val="TableContents"/>
              <w:bidi w:val="0"/>
              <w:spacing w:before="0" w:after="283"/>
              <w:jc w:val="center"/>
              <w:rPr/>
            </w:pPr>
            <w:r>
              <w:rPr/>
              <w:t> </w:t>
            </w:r>
          </w:p>
        </w:tc>
      </w:tr>
      <w:tr>
        <w:trPr/>
        <w:tc>
          <w:tcPr>
            <w:tcW w:w="6890" w:type="dxa"/>
            <w:tcBorders/>
            <w:shd w:fill="CCEEFF" w:val="clear"/>
            <w:vAlign w:val="center"/>
          </w:tcPr>
          <w:p>
            <w:pPr>
              <w:pStyle w:val="TableContents"/>
              <w:bidi w:val="0"/>
              <w:spacing w:before="0" w:after="283"/>
              <w:jc w:val="left"/>
              <w:rPr/>
            </w:pPr>
            <w:hyperlink w:anchor="a_005">
              <w:r>
                <w:rPr>
                  <w:rStyle w:val="InternetLink"/>
                  <w:sz w:val="20"/>
                </w:rPr>
                <w:t>USE OF PROCEEDS</w:t>
              </w:r>
            </w:hyperlink>
          </w:p>
        </w:tc>
        <w:tc>
          <w:tcPr>
            <w:tcW w:w="530" w:type="dxa"/>
            <w:tcBorders/>
            <w:shd w:fill="CCEEFF" w:val="clear"/>
            <w:vAlign w:val="center"/>
          </w:tcPr>
          <w:p>
            <w:pPr>
              <w:pStyle w:val="TableContents"/>
              <w:bidi w:val="0"/>
              <w:spacing w:before="0" w:after="283"/>
              <w:jc w:val="center"/>
              <w:rPr/>
            </w:pPr>
            <w:r>
              <w:rPr/>
              <w:t>3</w:t>
            </w:r>
          </w:p>
        </w:tc>
      </w:tr>
      <w:tr>
        <w:trPr/>
        <w:tc>
          <w:tcPr>
            <w:tcW w:w="6890" w:type="dxa"/>
            <w:tcBorders/>
            <w:shd w:fill="FFFFFF" w:val="clear"/>
            <w:vAlign w:val="center"/>
          </w:tcPr>
          <w:p>
            <w:pPr>
              <w:pStyle w:val="TableContents"/>
              <w:bidi w:val="0"/>
              <w:spacing w:before="0" w:after="283"/>
              <w:jc w:val="left"/>
              <w:rPr/>
            </w:pPr>
            <w:r>
              <w:rPr/>
              <w:t> </w:t>
            </w:r>
          </w:p>
        </w:tc>
        <w:tc>
          <w:tcPr>
            <w:tcW w:w="530" w:type="dxa"/>
            <w:tcBorders/>
            <w:shd w:fill="FFFFFF" w:val="clear"/>
            <w:vAlign w:val="center"/>
          </w:tcPr>
          <w:p>
            <w:pPr>
              <w:pStyle w:val="TableContents"/>
              <w:bidi w:val="0"/>
              <w:spacing w:before="0" w:after="283"/>
              <w:jc w:val="center"/>
              <w:rPr/>
            </w:pPr>
            <w:r>
              <w:rPr/>
              <w:t> </w:t>
            </w:r>
          </w:p>
        </w:tc>
      </w:tr>
      <w:tr>
        <w:trPr/>
        <w:tc>
          <w:tcPr>
            <w:tcW w:w="6890" w:type="dxa"/>
            <w:tcBorders/>
            <w:shd w:fill="CCEEFF" w:val="clear"/>
            <w:vAlign w:val="center"/>
          </w:tcPr>
          <w:p>
            <w:pPr>
              <w:pStyle w:val="TableContents"/>
              <w:bidi w:val="0"/>
              <w:spacing w:before="0" w:after="283"/>
              <w:jc w:val="left"/>
              <w:rPr/>
            </w:pPr>
            <w:hyperlink w:anchor="a_006">
              <w:r>
                <w:rPr>
                  <w:rStyle w:val="InternetLink"/>
                  <w:sz w:val="20"/>
                </w:rPr>
                <w:t>DILUTION</w:t>
              </w:r>
            </w:hyperlink>
          </w:p>
        </w:tc>
        <w:tc>
          <w:tcPr>
            <w:tcW w:w="530" w:type="dxa"/>
            <w:tcBorders/>
            <w:shd w:fill="CCEEFF" w:val="clear"/>
            <w:vAlign w:val="center"/>
          </w:tcPr>
          <w:p>
            <w:pPr>
              <w:pStyle w:val="TableContents"/>
              <w:bidi w:val="0"/>
              <w:spacing w:before="0" w:after="283"/>
              <w:jc w:val="center"/>
              <w:rPr/>
            </w:pPr>
            <w:r>
              <w:rPr/>
              <w:t>3</w:t>
            </w:r>
          </w:p>
        </w:tc>
      </w:tr>
      <w:tr>
        <w:trPr/>
        <w:tc>
          <w:tcPr>
            <w:tcW w:w="6890" w:type="dxa"/>
            <w:tcBorders/>
            <w:shd w:fill="FFFFFF" w:val="clear"/>
            <w:vAlign w:val="center"/>
          </w:tcPr>
          <w:p>
            <w:pPr>
              <w:pStyle w:val="TableContents"/>
              <w:bidi w:val="0"/>
              <w:spacing w:before="0" w:after="283"/>
              <w:jc w:val="left"/>
              <w:rPr/>
            </w:pPr>
            <w:r>
              <w:rPr/>
              <w:t> </w:t>
            </w:r>
          </w:p>
        </w:tc>
        <w:tc>
          <w:tcPr>
            <w:tcW w:w="530" w:type="dxa"/>
            <w:tcBorders/>
            <w:shd w:fill="FFFFFF" w:val="clear"/>
            <w:vAlign w:val="center"/>
          </w:tcPr>
          <w:p>
            <w:pPr>
              <w:pStyle w:val="TableContents"/>
              <w:bidi w:val="0"/>
              <w:spacing w:before="0" w:after="283"/>
              <w:jc w:val="center"/>
              <w:rPr/>
            </w:pPr>
            <w:r>
              <w:rPr/>
              <w:t> </w:t>
            </w:r>
          </w:p>
        </w:tc>
      </w:tr>
      <w:tr>
        <w:trPr/>
        <w:tc>
          <w:tcPr>
            <w:tcW w:w="6890" w:type="dxa"/>
            <w:tcBorders/>
            <w:shd w:fill="CCEEFF" w:val="clear"/>
            <w:vAlign w:val="center"/>
          </w:tcPr>
          <w:p>
            <w:pPr>
              <w:pStyle w:val="TableContents"/>
              <w:bidi w:val="0"/>
              <w:spacing w:before="0" w:after="283"/>
              <w:jc w:val="left"/>
              <w:rPr/>
            </w:pPr>
            <w:hyperlink w:anchor="a_007">
              <w:r>
                <w:rPr>
                  <w:rStyle w:val="InternetLink"/>
                  <w:sz w:val="20"/>
                </w:rPr>
                <w:t xml:space="preserve">DESCRIPTION OF SECURITIES </w:t>
              </w:r>
            </w:hyperlink>
          </w:p>
        </w:tc>
        <w:tc>
          <w:tcPr>
            <w:tcW w:w="530" w:type="dxa"/>
            <w:tcBorders/>
            <w:shd w:fill="CCEEFF" w:val="clear"/>
            <w:vAlign w:val="center"/>
          </w:tcPr>
          <w:p>
            <w:pPr>
              <w:pStyle w:val="TableContents"/>
              <w:bidi w:val="0"/>
              <w:spacing w:before="0" w:after="283"/>
              <w:jc w:val="center"/>
              <w:rPr/>
            </w:pPr>
            <w:r>
              <w:rPr/>
              <w:t>3</w:t>
            </w:r>
          </w:p>
        </w:tc>
      </w:tr>
      <w:tr>
        <w:trPr/>
        <w:tc>
          <w:tcPr>
            <w:tcW w:w="6890" w:type="dxa"/>
            <w:tcBorders/>
            <w:shd w:fill="FFFFFF" w:val="clear"/>
            <w:vAlign w:val="center"/>
          </w:tcPr>
          <w:p>
            <w:pPr>
              <w:pStyle w:val="TableContents"/>
              <w:bidi w:val="0"/>
              <w:spacing w:before="0" w:after="283"/>
              <w:jc w:val="left"/>
              <w:rPr/>
            </w:pPr>
            <w:r>
              <w:rPr/>
              <w:t> </w:t>
            </w:r>
          </w:p>
        </w:tc>
        <w:tc>
          <w:tcPr>
            <w:tcW w:w="530" w:type="dxa"/>
            <w:tcBorders/>
            <w:shd w:fill="FFFFFF" w:val="clear"/>
            <w:vAlign w:val="center"/>
          </w:tcPr>
          <w:p>
            <w:pPr>
              <w:pStyle w:val="TableContents"/>
              <w:bidi w:val="0"/>
              <w:spacing w:before="0" w:after="283"/>
              <w:jc w:val="center"/>
              <w:rPr/>
            </w:pPr>
            <w:r>
              <w:rPr/>
              <w:t> </w:t>
            </w:r>
          </w:p>
        </w:tc>
      </w:tr>
      <w:tr>
        <w:trPr/>
        <w:tc>
          <w:tcPr>
            <w:tcW w:w="6890" w:type="dxa"/>
            <w:tcBorders/>
            <w:shd w:fill="CCEEFF" w:val="clear"/>
            <w:vAlign w:val="center"/>
          </w:tcPr>
          <w:p>
            <w:pPr>
              <w:pStyle w:val="TableContents"/>
              <w:bidi w:val="0"/>
              <w:spacing w:before="0" w:after="283"/>
              <w:jc w:val="left"/>
              <w:rPr/>
            </w:pPr>
            <w:hyperlink w:anchor="a_008">
              <w:r>
                <w:rPr>
                  <w:rStyle w:val="InternetLink"/>
                  <w:sz w:val="20"/>
                </w:rPr>
                <w:t>PLAN OF DISTRIBUTION</w:t>
              </w:r>
            </w:hyperlink>
          </w:p>
        </w:tc>
        <w:tc>
          <w:tcPr>
            <w:tcW w:w="530" w:type="dxa"/>
            <w:tcBorders/>
            <w:shd w:fill="CCEEFF" w:val="clear"/>
            <w:vAlign w:val="center"/>
          </w:tcPr>
          <w:p>
            <w:pPr>
              <w:pStyle w:val="TableContents"/>
              <w:bidi w:val="0"/>
              <w:spacing w:before="0" w:after="283"/>
              <w:jc w:val="center"/>
              <w:rPr/>
            </w:pPr>
            <w:r>
              <w:rPr/>
              <w:t>19</w:t>
            </w:r>
          </w:p>
        </w:tc>
      </w:tr>
      <w:tr>
        <w:trPr/>
        <w:tc>
          <w:tcPr>
            <w:tcW w:w="6890" w:type="dxa"/>
            <w:tcBorders/>
            <w:shd w:fill="FFFFFF" w:val="clear"/>
            <w:vAlign w:val="center"/>
          </w:tcPr>
          <w:p>
            <w:pPr>
              <w:pStyle w:val="TableContents"/>
              <w:bidi w:val="0"/>
              <w:spacing w:before="0" w:after="283"/>
              <w:jc w:val="left"/>
              <w:rPr/>
            </w:pPr>
            <w:r>
              <w:rPr/>
              <w:t> </w:t>
            </w:r>
          </w:p>
        </w:tc>
        <w:tc>
          <w:tcPr>
            <w:tcW w:w="530" w:type="dxa"/>
            <w:tcBorders/>
            <w:shd w:fill="FFFFFF" w:val="clear"/>
            <w:vAlign w:val="center"/>
          </w:tcPr>
          <w:p>
            <w:pPr>
              <w:pStyle w:val="TableContents"/>
              <w:bidi w:val="0"/>
              <w:spacing w:before="0" w:after="283"/>
              <w:jc w:val="center"/>
              <w:rPr/>
            </w:pPr>
            <w:r>
              <w:rPr/>
              <w:t> </w:t>
            </w:r>
          </w:p>
        </w:tc>
      </w:tr>
      <w:tr>
        <w:trPr/>
        <w:tc>
          <w:tcPr>
            <w:tcW w:w="6890" w:type="dxa"/>
            <w:tcBorders/>
            <w:shd w:fill="CCEEFF" w:val="clear"/>
            <w:vAlign w:val="center"/>
          </w:tcPr>
          <w:p>
            <w:pPr>
              <w:pStyle w:val="TableContents"/>
              <w:bidi w:val="0"/>
              <w:spacing w:before="0" w:after="283"/>
              <w:jc w:val="left"/>
              <w:rPr/>
            </w:pPr>
            <w:hyperlink w:anchor="a_009">
              <w:r>
                <w:rPr>
                  <w:rStyle w:val="InternetLink"/>
                  <w:sz w:val="20"/>
                </w:rPr>
                <w:t>LEGAL MATTERS</w:t>
              </w:r>
            </w:hyperlink>
          </w:p>
        </w:tc>
        <w:tc>
          <w:tcPr>
            <w:tcW w:w="530" w:type="dxa"/>
            <w:tcBorders/>
            <w:shd w:fill="CCEEFF" w:val="clear"/>
            <w:vAlign w:val="center"/>
          </w:tcPr>
          <w:p>
            <w:pPr>
              <w:pStyle w:val="TableContents"/>
              <w:bidi w:val="0"/>
              <w:spacing w:before="0" w:after="283"/>
              <w:jc w:val="center"/>
              <w:rPr/>
            </w:pPr>
            <w:r>
              <w:rPr/>
              <w:t>21</w:t>
            </w:r>
          </w:p>
        </w:tc>
      </w:tr>
      <w:tr>
        <w:trPr/>
        <w:tc>
          <w:tcPr>
            <w:tcW w:w="6890" w:type="dxa"/>
            <w:tcBorders/>
            <w:shd w:fill="FFFFFF" w:val="clear"/>
            <w:vAlign w:val="center"/>
          </w:tcPr>
          <w:p>
            <w:pPr>
              <w:pStyle w:val="TableContents"/>
              <w:bidi w:val="0"/>
              <w:spacing w:before="0" w:after="283"/>
              <w:jc w:val="left"/>
              <w:rPr/>
            </w:pPr>
            <w:r>
              <w:rPr/>
              <w:t> </w:t>
            </w:r>
          </w:p>
        </w:tc>
        <w:tc>
          <w:tcPr>
            <w:tcW w:w="530" w:type="dxa"/>
            <w:tcBorders/>
            <w:shd w:fill="FFFFFF" w:val="clear"/>
            <w:vAlign w:val="center"/>
          </w:tcPr>
          <w:p>
            <w:pPr>
              <w:pStyle w:val="TableContents"/>
              <w:bidi w:val="0"/>
              <w:spacing w:before="0" w:after="283"/>
              <w:jc w:val="center"/>
              <w:rPr/>
            </w:pPr>
            <w:r>
              <w:rPr/>
              <w:t> </w:t>
            </w:r>
          </w:p>
        </w:tc>
      </w:tr>
      <w:tr>
        <w:trPr/>
        <w:tc>
          <w:tcPr>
            <w:tcW w:w="6890" w:type="dxa"/>
            <w:tcBorders/>
            <w:shd w:fill="CCEEFF" w:val="clear"/>
            <w:vAlign w:val="center"/>
          </w:tcPr>
          <w:p>
            <w:pPr>
              <w:pStyle w:val="TableContents"/>
              <w:bidi w:val="0"/>
              <w:spacing w:before="0" w:after="283"/>
              <w:jc w:val="left"/>
              <w:rPr/>
            </w:pPr>
            <w:hyperlink w:anchor="a_010">
              <w:r>
                <w:rPr>
                  <w:rStyle w:val="InternetLink"/>
                  <w:sz w:val="20"/>
                </w:rPr>
                <w:t>EXPERTS</w:t>
              </w:r>
            </w:hyperlink>
          </w:p>
        </w:tc>
        <w:tc>
          <w:tcPr>
            <w:tcW w:w="530" w:type="dxa"/>
            <w:tcBorders/>
            <w:shd w:fill="CCEEFF" w:val="clear"/>
            <w:vAlign w:val="center"/>
          </w:tcPr>
          <w:p>
            <w:pPr>
              <w:pStyle w:val="TableContents"/>
              <w:bidi w:val="0"/>
              <w:spacing w:before="0" w:after="283"/>
              <w:jc w:val="center"/>
              <w:rPr/>
            </w:pPr>
            <w:r>
              <w:rPr/>
              <w:t>21</w:t>
            </w:r>
          </w:p>
        </w:tc>
      </w:tr>
      <w:tr>
        <w:trPr/>
        <w:tc>
          <w:tcPr>
            <w:tcW w:w="6890" w:type="dxa"/>
            <w:tcBorders/>
            <w:shd w:fill="FFFFFF" w:val="clear"/>
            <w:vAlign w:val="center"/>
          </w:tcPr>
          <w:p>
            <w:pPr>
              <w:pStyle w:val="TableContents"/>
              <w:bidi w:val="0"/>
              <w:spacing w:before="0" w:after="283"/>
              <w:jc w:val="left"/>
              <w:rPr/>
            </w:pPr>
            <w:r>
              <w:rPr/>
              <w:t> </w:t>
            </w:r>
          </w:p>
        </w:tc>
        <w:tc>
          <w:tcPr>
            <w:tcW w:w="530" w:type="dxa"/>
            <w:tcBorders/>
            <w:shd w:fill="FFFFFF" w:val="clear"/>
            <w:vAlign w:val="center"/>
          </w:tcPr>
          <w:p>
            <w:pPr>
              <w:pStyle w:val="TableContents"/>
              <w:bidi w:val="0"/>
              <w:spacing w:before="0" w:after="283"/>
              <w:jc w:val="center"/>
              <w:rPr/>
            </w:pPr>
            <w:r>
              <w:rPr/>
              <w:t> </w:t>
            </w:r>
          </w:p>
        </w:tc>
      </w:tr>
      <w:tr>
        <w:trPr/>
        <w:tc>
          <w:tcPr>
            <w:tcW w:w="6890" w:type="dxa"/>
            <w:tcBorders/>
            <w:shd w:fill="CCEEFF" w:val="clear"/>
            <w:vAlign w:val="center"/>
          </w:tcPr>
          <w:p>
            <w:pPr>
              <w:pStyle w:val="TableContents"/>
              <w:bidi w:val="0"/>
              <w:spacing w:before="0" w:after="283"/>
              <w:jc w:val="left"/>
              <w:rPr/>
            </w:pPr>
            <w:hyperlink w:anchor="a_011">
              <w:r>
                <w:rPr>
                  <w:rStyle w:val="InternetLink"/>
                  <w:sz w:val="20"/>
                </w:rPr>
                <w:t>WHERE YOU CAN FIND MORE INFORMATION</w:t>
              </w:r>
            </w:hyperlink>
          </w:p>
        </w:tc>
        <w:tc>
          <w:tcPr>
            <w:tcW w:w="530" w:type="dxa"/>
            <w:tcBorders/>
            <w:shd w:fill="CCEEFF" w:val="clear"/>
            <w:vAlign w:val="center"/>
          </w:tcPr>
          <w:p>
            <w:pPr>
              <w:pStyle w:val="TableContents"/>
              <w:bidi w:val="0"/>
              <w:spacing w:before="0" w:after="283"/>
              <w:jc w:val="center"/>
              <w:rPr/>
            </w:pPr>
            <w:r>
              <w:rPr/>
              <w:t>21</w:t>
            </w:r>
          </w:p>
        </w:tc>
      </w:tr>
      <w:tr>
        <w:trPr/>
        <w:tc>
          <w:tcPr>
            <w:tcW w:w="6890" w:type="dxa"/>
            <w:tcBorders/>
            <w:shd w:fill="FFFFFF" w:val="clear"/>
            <w:vAlign w:val="center"/>
          </w:tcPr>
          <w:p>
            <w:pPr>
              <w:pStyle w:val="TableContents"/>
              <w:bidi w:val="0"/>
              <w:spacing w:before="0" w:after="283"/>
              <w:jc w:val="left"/>
              <w:rPr/>
            </w:pPr>
            <w:r>
              <w:rPr/>
              <w:t> </w:t>
            </w:r>
          </w:p>
        </w:tc>
        <w:tc>
          <w:tcPr>
            <w:tcW w:w="530" w:type="dxa"/>
            <w:tcBorders/>
            <w:shd w:fill="FFFFFF" w:val="clear"/>
            <w:vAlign w:val="center"/>
          </w:tcPr>
          <w:p>
            <w:pPr>
              <w:pStyle w:val="TableContents"/>
              <w:bidi w:val="0"/>
              <w:spacing w:before="0" w:after="283"/>
              <w:jc w:val="center"/>
              <w:rPr/>
            </w:pPr>
            <w:r>
              <w:rPr/>
              <w:t> </w:t>
            </w:r>
          </w:p>
        </w:tc>
      </w:tr>
      <w:tr>
        <w:trPr/>
        <w:tc>
          <w:tcPr>
            <w:tcW w:w="6890" w:type="dxa"/>
            <w:tcBorders/>
            <w:shd w:fill="CCEEFF" w:val="clear"/>
            <w:vAlign w:val="center"/>
          </w:tcPr>
          <w:p>
            <w:pPr>
              <w:pStyle w:val="TableContents"/>
              <w:bidi w:val="0"/>
              <w:spacing w:before="0" w:after="283"/>
              <w:jc w:val="left"/>
              <w:rPr/>
            </w:pPr>
            <w:hyperlink w:anchor="a_012">
              <w:r>
                <w:rPr>
                  <w:rStyle w:val="InternetLink"/>
                  <w:sz w:val="20"/>
                </w:rPr>
                <w:t>INCORPORATION OF CERTAIN DOCUMENTS BY REFERENCE</w:t>
              </w:r>
            </w:hyperlink>
          </w:p>
        </w:tc>
        <w:tc>
          <w:tcPr>
            <w:tcW w:w="530" w:type="dxa"/>
            <w:tcBorders/>
            <w:shd w:fill="CCEEFF" w:val="clear"/>
            <w:vAlign w:val="center"/>
          </w:tcPr>
          <w:p>
            <w:pPr>
              <w:pStyle w:val="TableContents"/>
              <w:bidi w:val="0"/>
              <w:spacing w:before="0" w:after="283"/>
              <w:jc w:val="center"/>
              <w:rPr/>
            </w:pPr>
            <w:r>
              <w:rPr/>
              <w:t>22</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You should rely only on the information contained or incorporated by reference in this prospectus or any prospectus supplement. We have not authorized anyone to provide you with information different from that contained or incorporated by reference into this prospectus. If any person does provide you with information that differs from what is contained or incorporated by reference in this prospectus, you should not rely on it. No dealer, salesperson or other person is authorized to give any information or to represent anything not contained in this prospectus. You should assume that the information contained in this prospectus or any prospectus supplement is accurate only as of the date on the front of the document and that any information contained in any document we have incorporated by reference is accurate only as of the date of the document incorporated by reference, regardless of the time of delivery of this prospectus or any prospectus supplement or any sale of a security. These documents are not an offer to sell or a solicitation of an offer to buy these securities by anyone in any jurisdiction in which such offer or solicitation is not authorized, or in which the person is not qualified to do so or to any person to whom it is unlawful to make such offer or solicitation.</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i</w:t>
      </w:r>
    </w:p>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bookmarkStart w:id="2" w:name="a_001"/>
      <w:bookmarkEnd w:id="2"/>
      <w:r>
        <w:rPr>
          <w:rFonts w:ascii="Times New Roman;Times;Serif" w:hAnsi="Times New Roman;Times;Serif"/>
          <w:b w:val="false"/>
          <w:i w:val="false"/>
          <w:caps w:val="false"/>
          <w:smallCaps w:val="false"/>
          <w:sz w:val="20"/>
        </w:rPr>
        <w:t>ABOUT THIS PROSPECTUS</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prospectus is part of a registration statement that we filed with the Securities and Exchange Commission, or SEC, using a “shelf” registration process. Under this shelf registration process, we may sell any combination of the securities described in this prospectus in one or more offerings up to a total dollar amount of proceeds of $75,000,000. This prospectus describes the general manner in which our securities may be offered by this prospectus. We may sell our securities through underwriters or dealers, “at-the-market” to or through a market maker, into an existing trading market or otherwise directly to one or more purchasers or through agents or through a combination of methods of sale. The identities of such underwriters, dealers, market makers or agents, as the case may be, will be described in one or more supplements to this prospectus. The securities may be offered at prices and on terms described in one or more supplements to this prospectus. Each time we sell securities, we will provide a prospectus supplement that will contain specific information about the terms of that offering. The prospectus supplement may also add, update or change information contained in this prospectus or in documents incorporated by reference in this prospectus. The prospectus supplement that contains specific information about the terms of the securities being offered may also include a discussion of certain U.S. Federal income tax consequences and any risk factors or other special considerations applicable to those securities. To the extent that any statement that we make in a prospectus supplement is inconsistent with statements made in this prospectus or in documents incorporated by reference in this prospectus, you should rely on the information in the prospectus supplement. You should carefully read both this prospectus and any prospectus supplement together with the additional information described under “Where You Can Find More Information” before buying any securities in this offering.</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Unless the context otherwise requires, references to “we,” “our,” “us,” “NIKI” or the “Company” in this prospectus mean NIKI BIOSOLUTIONS, INC., a Delaware corporation, on a consolidated basis with its wholly owned subsidiaries, as applicable.</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ii</w:t>
      </w:r>
    </w:p>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3" w:name="a_002"/>
      <w:bookmarkEnd w:id="3"/>
      <w:r>
        <w:rPr>
          <w:rFonts w:ascii="Times New Roman;Times;Serif" w:hAnsi="Times New Roman;Times;Serif"/>
          <w:b/>
          <w:i w:val="false"/>
          <w:caps w:val="false"/>
          <w:smallCaps w:val="false"/>
          <w:sz w:val="20"/>
        </w:rPr>
        <w:t>CAUTIONARY STATEMENT REGARDING FORWARD-LOOKING STATEMENTS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prospectus and the documents and information incorporated by reference in this prospectus include forward-looking statements within the meaning of Section 27A of the Securities Act of 1933, as amended, or the Securities Act, and Section 21E of the Securities Exchange Act of 1934, as amended, or the Exchange Act. These statements are based on our management’s beliefs and assumptions and on information currently available to our management. Such forward-looking statements include those that express plans, anticipation, intent, contingency, goals, targets or future development and/or otherwise are not statements of historical fact.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statements in this prospectus and the documents and information incorporated by reference in this prospectus that are not historical facts are forward-looking statements. We may, in some cases, use terms such as “anticipates,” “believes,” “could,” “estimates,” “expects,” “intends,” “may,” “plans,” “potential,” “predicts,” “projects,” “should,” “will,” “would” or similar expressions or the negative of such items that convey uncertainty of future events or outcomes to identify forward-looking statements.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Forward-looking statements are made based on management’s beliefs, estimates and opinions on the date the statements are made, and we undertake no obligation to update forward-looking statements if these beliefs, estimates and opinions or other circumstances should change, except as may be required by applicable law. Although we believe that the expectations reflected in the forward-looking statements are reasonable, we cannot guarantee future results, levels of activity, performance or achievements.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Forward-looking statements are those that do not relate strictly to historical or current facts. Examples of forward-looking statements may include, among others, statements regarding the Company’s:</w:t>
      </w:r>
    </w:p>
    <w:p>
      <w:pPr>
        <w:pStyle w:val="TextBody"/>
        <w:bidi w:val="0"/>
        <w:spacing w:before="0" w:after="0"/>
        <w:ind w:left="0" w:right="0" w:firstLine="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sz w:val="20"/>
              </w:rPr>
            </w:pPr>
            <w:r>
              <w:rPr>
                <w:sz w:val="20"/>
              </w:rPr>
              <w:t>the initiation, timing, progress and results of our preclinical and clinical trials, and our research and development programs;</w:t>
            </w:r>
          </w:p>
        </w:tc>
      </w:tr>
    </w:tbl>
    <w:p>
      <w:pPr>
        <w:pStyle w:val="TextBody"/>
        <w:bidi w:val="0"/>
        <w:spacing w:before="0" w:after="0"/>
        <w:ind w:left="0" w:right="0" w:hanging="0"/>
        <w:jc w:val="left"/>
        <w:rPr>
          <w:caps w:val="false"/>
          <w:smallCaps w:val="false"/>
        </w:rPr>
      </w:pPr>
      <w:r>
        <w:rPr>
          <w:caps w:val="false"/>
          <w:smallCaps w:val="false"/>
        </w:rPr>
        <w:t> </w:t>
      </w:r>
    </w:p>
    <w:tbl>
      <w:tblPr>
        <w:tblW w:w="7525" w:type="dxa"/>
        <w:jc w:val="left"/>
        <w:tblInd w:w="0" w:type="dxa"/>
        <w:tblLayout w:type="fixed"/>
        <w:tblCellMar>
          <w:top w:w="0" w:type="dxa"/>
          <w:left w:w="0" w:type="dxa"/>
          <w:bottom w:w="0" w:type="dxa"/>
          <w:right w:w="0" w:type="dxa"/>
        </w:tblCellMar>
      </w:tblPr>
      <w:tblGrid>
        <w:gridCol w:w="75"/>
        <w:gridCol w:w="170"/>
        <w:gridCol w:w="728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7280" w:type="dxa"/>
            <w:tcBorders/>
            <w:vAlign w:val="center"/>
          </w:tcPr>
          <w:p>
            <w:pPr>
              <w:pStyle w:val="TableContents"/>
              <w:bidi w:val="0"/>
              <w:spacing w:before="0" w:after="283"/>
              <w:jc w:val="both"/>
              <w:rPr>
                <w:sz w:val="20"/>
              </w:rPr>
            </w:pPr>
            <w:r>
              <w:rPr>
                <w:sz w:val="20"/>
              </w:rPr>
              <w:t>our ability to advance our drug candidates into, and successfully complete, clinical trials;</w:t>
            </w:r>
          </w:p>
        </w:tc>
      </w:tr>
    </w:tbl>
    <w:p>
      <w:pPr>
        <w:pStyle w:val="TextBody"/>
        <w:bidi w:val="0"/>
        <w:spacing w:before="0" w:after="0"/>
        <w:ind w:left="0" w:right="0" w:hanging="0"/>
        <w:jc w:val="left"/>
        <w:rPr>
          <w:caps w:val="false"/>
          <w:smallCaps w:val="false"/>
        </w:rPr>
      </w:pPr>
      <w:r>
        <w:rPr>
          <w:caps w:val="false"/>
          <w:smallCaps w:val="false"/>
        </w:rPr>
        <w:t> </w:t>
      </w:r>
    </w:p>
    <w:tbl>
      <w:tblPr>
        <w:tblW w:w="5785" w:type="dxa"/>
        <w:jc w:val="left"/>
        <w:tblInd w:w="0" w:type="dxa"/>
        <w:tblLayout w:type="fixed"/>
        <w:tblCellMar>
          <w:top w:w="0" w:type="dxa"/>
          <w:left w:w="0" w:type="dxa"/>
          <w:bottom w:w="0" w:type="dxa"/>
          <w:right w:w="0" w:type="dxa"/>
        </w:tblCellMar>
      </w:tblPr>
      <w:tblGrid>
        <w:gridCol w:w="75"/>
        <w:gridCol w:w="170"/>
        <w:gridCol w:w="554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5540" w:type="dxa"/>
            <w:tcBorders/>
            <w:vAlign w:val="center"/>
          </w:tcPr>
          <w:p>
            <w:pPr>
              <w:pStyle w:val="TableContents"/>
              <w:bidi w:val="0"/>
              <w:spacing w:before="0" w:after="283"/>
              <w:jc w:val="both"/>
              <w:rPr>
                <w:sz w:val="20"/>
              </w:rPr>
            </w:pPr>
            <w:r>
              <w:rPr>
                <w:sz w:val="20"/>
              </w:rPr>
              <w:t>our ability to identify and develop new drug and device candidates;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sz w:val="20"/>
              </w:rPr>
            </w:pPr>
            <w:r>
              <w:rPr>
                <w:sz w:val="20"/>
              </w:rPr>
              <w:t>our reliance on the success of our drug candidates currently undergoing preclinical development; in particular, our Lead Project candidates;</w:t>
            </w:r>
          </w:p>
        </w:tc>
      </w:tr>
    </w:tbl>
    <w:p>
      <w:pPr>
        <w:pStyle w:val="TextBody"/>
        <w:bidi w:val="0"/>
        <w:spacing w:before="0" w:after="0"/>
        <w:ind w:left="0" w:right="0" w:hanging="0"/>
        <w:jc w:val="left"/>
        <w:rPr>
          <w:caps w:val="false"/>
          <w:smallCaps w:val="false"/>
        </w:rPr>
      </w:pPr>
      <w:r>
        <w:rPr>
          <w:caps w:val="false"/>
          <w:smallCaps w:val="false"/>
        </w:rPr>
        <w:t> </w:t>
      </w:r>
    </w:p>
    <w:tbl>
      <w:tblPr>
        <w:tblW w:w="5140" w:type="dxa"/>
        <w:jc w:val="left"/>
        <w:tblInd w:w="0" w:type="dxa"/>
        <w:tblLayout w:type="fixed"/>
        <w:tblCellMar>
          <w:top w:w="0" w:type="dxa"/>
          <w:left w:w="0" w:type="dxa"/>
          <w:bottom w:w="0" w:type="dxa"/>
          <w:right w:w="0" w:type="dxa"/>
        </w:tblCellMar>
      </w:tblPr>
      <w:tblGrid>
        <w:gridCol w:w="75"/>
        <w:gridCol w:w="170"/>
        <w:gridCol w:w="489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4895" w:type="dxa"/>
            <w:tcBorders/>
            <w:vAlign w:val="center"/>
          </w:tcPr>
          <w:p>
            <w:pPr>
              <w:pStyle w:val="TableContents"/>
              <w:bidi w:val="0"/>
              <w:spacing w:before="0" w:after="283"/>
              <w:jc w:val="both"/>
              <w:rPr>
                <w:sz w:val="20"/>
              </w:rPr>
            </w:pPr>
            <w:r>
              <w:rPr>
                <w:sz w:val="20"/>
              </w:rPr>
              <w:t>the timing or likelihood of regulatory filings and approvals;</w:t>
            </w:r>
          </w:p>
        </w:tc>
      </w:tr>
    </w:tbl>
    <w:p>
      <w:pPr>
        <w:pStyle w:val="TextBody"/>
        <w:bidi w:val="0"/>
        <w:spacing w:before="0" w:after="0"/>
        <w:ind w:left="0" w:right="0" w:hanging="0"/>
        <w:jc w:val="left"/>
        <w:rPr>
          <w:caps w:val="false"/>
          <w:smallCaps w:val="false"/>
        </w:rPr>
      </w:pPr>
      <w:r>
        <w:rPr>
          <w:caps w:val="false"/>
          <w:smallCaps w:val="false"/>
        </w:rPr>
        <w:t> </w:t>
      </w:r>
    </w:p>
    <w:tbl>
      <w:tblPr>
        <w:tblW w:w="5965" w:type="dxa"/>
        <w:jc w:val="left"/>
        <w:tblInd w:w="0" w:type="dxa"/>
        <w:tblLayout w:type="fixed"/>
        <w:tblCellMar>
          <w:top w:w="0" w:type="dxa"/>
          <w:left w:w="0" w:type="dxa"/>
          <w:bottom w:w="0" w:type="dxa"/>
          <w:right w:w="0" w:type="dxa"/>
        </w:tblCellMar>
      </w:tblPr>
      <w:tblGrid>
        <w:gridCol w:w="75"/>
        <w:gridCol w:w="170"/>
        <w:gridCol w:w="572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5720" w:type="dxa"/>
            <w:tcBorders/>
            <w:vAlign w:val="center"/>
          </w:tcPr>
          <w:p>
            <w:pPr>
              <w:pStyle w:val="TableContents"/>
              <w:bidi w:val="0"/>
              <w:spacing w:before="0" w:after="283"/>
              <w:jc w:val="both"/>
              <w:rPr>
                <w:sz w:val="20"/>
              </w:rPr>
            </w:pPr>
            <w:r>
              <w:rPr>
                <w:sz w:val="20"/>
              </w:rPr>
              <w:t>the commercialization of our drug and device candidates, if approved;</w:t>
            </w:r>
          </w:p>
        </w:tc>
      </w:tr>
    </w:tbl>
    <w:p>
      <w:pPr>
        <w:pStyle w:val="TextBody"/>
        <w:bidi w:val="0"/>
        <w:spacing w:before="0" w:after="0"/>
        <w:ind w:left="0" w:right="0" w:hanging="0"/>
        <w:jc w:val="left"/>
        <w:rPr>
          <w:caps w:val="false"/>
          <w:smallCaps w:val="false"/>
        </w:rPr>
      </w:pPr>
      <w:r>
        <w:rPr>
          <w:caps w:val="false"/>
          <w:smallCaps w:val="false"/>
        </w:rPr>
        <w:t> </w:t>
      </w:r>
    </w:p>
    <w:tbl>
      <w:tblPr>
        <w:tblW w:w="4750" w:type="dxa"/>
        <w:jc w:val="left"/>
        <w:tblInd w:w="0" w:type="dxa"/>
        <w:tblLayout w:type="fixed"/>
        <w:tblCellMar>
          <w:top w:w="0" w:type="dxa"/>
          <w:left w:w="0" w:type="dxa"/>
          <w:bottom w:w="0" w:type="dxa"/>
          <w:right w:w="0" w:type="dxa"/>
        </w:tblCellMar>
      </w:tblPr>
      <w:tblGrid>
        <w:gridCol w:w="75"/>
        <w:gridCol w:w="170"/>
        <w:gridCol w:w="450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4505" w:type="dxa"/>
            <w:tcBorders/>
            <w:vAlign w:val="center"/>
          </w:tcPr>
          <w:p>
            <w:pPr>
              <w:pStyle w:val="TableContents"/>
              <w:bidi w:val="0"/>
              <w:spacing w:before="0" w:after="283"/>
              <w:jc w:val="both"/>
              <w:rPr>
                <w:sz w:val="20"/>
              </w:rPr>
            </w:pPr>
            <w:r>
              <w:rPr>
                <w:sz w:val="20"/>
              </w:rPr>
              <w:t>our ability to develop sales and marketing capabilities;</w:t>
            </w:r>
          </w:p>
        </w:tc>
      </w:tr>
    </w:tbl>
    <w:p>
      <w:pPr>
        <w:pStyle w:val="TextBody"/>
        <w:bidi w:val="0"/>
        <w:spacing w:before="0" w:after="0"/>
        <w:ind w:left="0" w:right="0" w:hanging="0"/>
        <w:jc w:val="left"/>
        <w:rPr>
          <w:caps w:val="false"/>
          <w:smallCaps w:val="false"/>
        </w:rPr>
      </w:pPr>
      <w:r>
        <w:rPr>
          <w:caps w:val="false"/>
          <w:smallCaps w:val="false"/>
        </w:rPr>
        <w:t> </w:t>
      </w:r>
    </w:p>
    <w:tbl>
      <w:tblPr>
        <w:tblW w:w="5695" w:type="dxa"/>
        <w:jc w:val="left"/>
        <w:tblInd w:w="0" w:type="dxa"/>
        <w:tblLayout w:type="fixed"/>
        <w:tblCellMar>
          <w:top w:w="0" w:type="dxa"/>
          <w:left w:w="0" w:type="dxa"/>
          <w:bottom w:w="0" w:type="dxa"/>
          <w:right w:w="0" w:type="dxa"/>
        </w:tblCellMar>
      </w:tblPr>
      <w:tblGrid>
        <w:gridCol w:w="75"/>
        <w:gridCol w:w="170"/>
        <w:gridCol w:w="545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5450" w:type="dxa"/>
            <w:tcBorders/>
            <w:vAlign w:val="center"/>
          </w:tcPr>
          <w:p>
            <w:pPr>
              <w:pStyle w:val="TableContents"/>
              <w:bidi w:val="0"/>
              <w:spacing w:before="0" w:after="283"/>
              <w:jc w:val="both"/>
              <w:rPr>
                <w:sz w:val="20"/>
              </w:rPr>
            </w:pPr>
            <w:r>
              <w:rPr>
                <w:sz w:val="20"/>
              </w:rPr>
              <w:t>the pricing and reimbursement of our drug candidates, if approved;</w:t>
            </w:r>
          </w:p>
        </w:tc>
      </w:tr>
    </w:tbl>
    <w:p>
      <w:pPr>
        <w:pStyle w:val="TextBody"/>
        <w:bidi w:val="0"/>
        <w:spacing w:before="0" w:after="0"/>
        <w:ind w:left="0" w:right="0" w:hanging="0"/>
        <w:jc w:val="left"/>
        <w:rPr>
          <w:caps w:val="false"/>
          <w:smallCaps w:val="false"/>
        </w:rPr>
      </w:pPr>
      <w:r>
        <w:rPr>
          <w:caps w:val="false"/>
          <w:smallCaps w:val="false"/>
        </w:rPr>
        <w:t> </w:t>
      </w:r>
    </w:p>
    <w:tbl>
      <w:tblPr>
        <w:tblW w:w="7645" w:type="dxa"/>
        <w:jc w:val="left"/>
        <w:tblInd w:w="0" w:type="dxa"/>
        <w:tblLayout w:type="fixed"/>
        <w:tblCellMar>
          <w:top w:w="0" w:type="dxa"/>
          <w:left w:w="0" w:type="dxa"/>
          <w:bottom w:w="0" w:type="dxa"/>
          <w:right w:w="0" w:type="dxa"/>
        </w:tblCellMar>
      </w:tblPr>
      <w:tblGrid>
        <w:gridCol w:w="75"/>
        <w:gridCol w:w="170"/>
        <w:gridCol w:w="740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7400" w:type="dxa"/>
            <w:tcBorders/>
            <w:vAlign w:val="center"/>
          </w:tcPr>
          <w:p>
            <w:pPr>
              <w:pStyle w:val="TableContents"/>
              <w:bidi w:val="0"/>
              <w:spacing w:before="0" w:after="283"/>
              <w:jc w:val="both"/>
              <w:rPr>
                <w:sz w:val="20"/>
              </w:rPr>
            </w:pPr>
            <w:r>
              <w:rPr>
                <w:sz w:val="20"/>
              </w:rPr>
              <w:t>the implementation of our business model, strategic plans for our business and technology;</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iii</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sz w:val="20"/>
              </w:rPr>
            </w:pPr>
            <w:r>
              <w:rPr>
                <w:sz w:val="20"/>
              </w:rPr>
              <w:t>the scope of protection we are able to establish and maintain for IP rights covering our drug and device candidates and technology;</w:t>
            </w:r>
          </w:p>
        </w:tc>
      </w:tr>
    </w:tbl>
    <w:p>
      <w:pPr>
        <w:pStyle w:val="TextBody"/>
        <w:bidi w:val="0"/>
        <w:spacing w:before="0" w:after="0"/>
        <w:ind w:left="0" w:right="0" w:hanging="0"/>
        <w:jc w:val="left"/>
        <w:rPr>
          <w:caps w:val="false"/>
          <w:smallCaps w:val="false"/>
        </w:rPr>
      </w:pPr>
      <w:r>
        <w:rPr>
          <w:caps w:val="false"/>
          <w:smallCaps w:val="false"/>
        </w:rPr>
        <w:t> </w:t>
      </w:r>
    </w:p>
    <w:tbl>
      <w:tblPr>
        <w:tblW w:w="9190" w:type="dxa"/>
        <w:jc w:val="left"/>
        <w:tblInd w:w="0" w:type="dxa"/>
        <w:tblLayout w:type="fixed"/>
        <w:tblCellMar>
          <w:top w:w="0" w:type="dxa"/>
          <w:left w:w="0" w:type="dxa"/>
          <w:bottom w:w="0" w:type="dxa"/>
          <w:right w:w="0" w:type="dxa"/>
        </w:tblCellMar>
      </w:tblPr>
      <w:tblGrid>
        <w:gridCol w:w="75"/>
        <w:gridCol w:w="170"/>
        <w:gridCol w:w="894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8945" w:type="dxa"/>
            <w:tcBorders/>
            <w:vAlign w:val="center"/>
          </w:tcPr>
          <w:p>
            <w:pPr>
              <w:pStyle w:val="TableContents"/>
              <w:bidi w:val="0"/>
              <w:spacing w:before="0" w:after="283"/>
              <w:jc w:val="both"/>
              <w:rPr>
                <w:sz w:val="20"/>
              </w:rPr>
            </w:pPr>
            <w:r>
              <w:rPr>
                <w:sz w:val="20"/>
              </w:rPr>
              <w:t>our ability to operate our business without infringing the IP rights and proprietary technology of other parties;</w:t>
            </w:r>
          </w:p>
        </w:tc>
      </w:tr>
    </w:tbl>
    <w:p>
      <w:pPr>
        <w:pStyle w:val="TextBody"/>
        <w:bidi w:val="0"/>
        <w:spacing w:before="0" w:after="0"/>
        <w:ind w:left="0" w:right="0" w:hanging="0"/>
        <w:jc w:val="left"/>
        <w:rPr>
          <w:caps w:val="false"/>
          <w:smallCaps w:val="false"/>
        </w:rPr>
      </w:pPr>
      <w:r>
        <w:rPr>
          <w:caps w:val="false"/>
          <w:smallCaps w:val="false"/>
        </w:rPr>
        <w:t> </w:t>
      </w:r>
    </w:p>
    <w:tbl>
      <w:tblPr>
        <w:tblW w:w="7015" w:type="dxa"/>
        <w:jc w:val="left"/>
        <w:tblInd w:w="0" w:type="dxa"/>
        <w:tblLayout w:type="fixed"/>
        <w:tblCellMar>
          <w:top w:w="0" w:type="dxa"/>
          <w:left w:w="0" w:type="dxa"/>
          <w:bottom w:w="0" w:type="dxa"/>
          <w:right w:w="0" w:type="dxa"/>
        </w:tblCellMar>
      </w:tblPr>
      <w:tblGrid>
        <w:gridCol w:w="75"/>
        <w:gridCol w:w="170"/>
        <w:gridCol w:w="677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6770" w:type="dxa"/>
            <w:tcBorders/>
            <w:vAlign w:val="center"/>
          </w:tcPr>
          <w:p>
            <w:pPr>
              <w:pStyle w:val="TableContents"/>
              <w:bidi w:val="0"/>
              <w:spacing w:before="0" w:after="283"/>
              <w:jc w:val="both"/>
              <w:rPr>
                <w:sz w:val="20"/>
              </w:rPr>
            </w:pPr>
            <w:r>
              <w:rPr>
                <w:sz w:val="20"/>
              </w:rPr>
              <w:t>costs associated with defending IP infringement, product liability and other claims;</w:t>
            </w:r>
          </w:p>
        </w:tc>
      </w:tr>
    </w:tbl>
    <w:p>
      <w:pPr>
        <w:pStyle w:val="TextBody"/>
        <w:bidi w:val="0"/>
        <w:spacing w:before="0" w:after="0"/>
        <w:ind w:left="0" w:right="0" w:hanging="0"/>
        <w:jc w:val="left"/>
        <w:rPr>
          <w:caps w:val="false"/>
          <w:smallCaps w:val="false"/>
        </w:rPr>
      </w:pPr>
      <w:r>
        <w:rPr>
          <w:caps w:val="false"/>
          <w:smallCaps w:val="false"/>
        </w:rPr>
        <w:t> </w:t>
      </w:r>
    </w:p>
    <w:tbl>
      <w:tblPr>
        <w:tblW w:w="6490" w:type="dxa"/>
        <w:jc w:val="left"/>
        <w:tblInd w:w="0" w:type="dxa"/>
        <w:tblLayout w:type="fixed"/>
        <w:tblCellMar>
          <w:top w:w="0" w:type="dxa"/>
          <w:left w:w="0" w:type="dxa"/>
          <w:bottom w:w="0" w:type="dxa"/>
          <w:right w:w="0" w:type="dxa"/>
        </w:tblCellMar>
      </w:tblPr>
      <w:tblGrid>
        <w:gridCol w:w="75"/>
        <w:gridCol w:w="170"/>
        <w:gridCol w:w="624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6245" w:type="dxa"/>
            <w:tcBorders/>
            <w:vAlign w:val="center"/>
          </w:tcPr>
          <w:p>
            <w:pPr>
              <w:pStyle w:val="TableContents"/>
              <w:bidi w:val="0"/>
              <w:spacing w:before="0" w:after="283"/>
              <w:jc w:val="both"/>
              <w:rPr>
                <w:sz w:val="20"/>
              </w:rPr>
            </w:pPr>
            <w:r>
              <w:rPr>
                <w:sz w:val="20"/>
              </w:rPr>
              <w:t>regulatory development in the U.S., Europe and PRC and other jurisdictions;</w:t>
            </w:r>
          </w:p>
        </w:tc>
      </w:tr>
    </w:tbl>
    <w:p>
      <w:pPr>
        <w:pStyle w:val="TextBody"/>
        <w:bidi w:val="0"/>
        <w:spacing w:before="0" w:after="0"/>
        <w:ind w:left="0" w:right="0" w:hanging="0"/>
        <w:jc w:val="left"/>
        <w:rPr>
          <w:caps w:val="false"/>
          <w:smallCaps w:val="false"/>
        </w:rPr>
      </w:pPr>
      <w:r>
        <w:rPr>
          <w:caps w:val="false"/>
          <w:smallCaps w:val="false"/>
        </w:rPr>
        <w:t> </w:t>
      </w:r>
    </w:p>
    <w:tbl>
      <w:tblPr>
        <w:tblW w:w="8620" w:type="dxa"/>
        <w:jc w:val="left"/>
        <w:tblInd w:w="0" w:type="dxa"/>
        <w:tblLayout w:type="fixed"/>
        <w:tblCellMar>
          <w:top w:w="0" w:type="dxa"/>
          <w:left w:w="0" w:type="dxa"/>
          <w:bottom w:w="0" w:type="dxa"/>
          <w:right w:w="0" w:type="dxa"/>
        </w:tblCellMar>
      </w:tblPr>
      <w:tblGrid>
        <w:gridCol w:w="75"/>
        <w:gridCol w:w="170"/>
        <w:gridCol w:w="837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8375" w:type="dxa"/>
            <w:tcBorders/>
            <w:vAlign w:val="center"/>
          </w:tcPr>
          <w:p>
            <w:pPr>
              <w:pStyle w:val="TableContents"/>
              <w:bidi w:val="0"/>
              <w:spacing w:before="0" w:after="283"/>
              <w:jc w:val="both"/>
              <w:rPr>
                <w:sz w:val="20"/>
              </w:rPr>
            </w:pPr>
            <w:r>
              <w:rPr>
                <w:sz w:val="20"/>
              </w:rPr>
              <w:t>estimates of our expenses, future revenues, capital requirements and our needs for additional financing;</w:t>
            </w:r>
          </w:p>
        </w:tc>
      </w:tr>
    </w:tbl>
    <w:p>
      <w:pPr>
        <w:pStyle w:val="TextBody"/>
        <w:bidi w:val="0"/>
        <w:spacing w:before="0" w:after="0"/>
        <w:ind w:left="0" w:right="0" w:hanging="0"/>
        <w:jc w:val="left"/>
        <w:rPr>
          <w:caps w:val="false"/>
          <w:smallCaps w:val="false"/>
        </w:rPr>
      </w:pPr>
      <w:r>
        <w:rPr>
          <w:caps w:val="false"/>
          <w:smallCaps w:val="false"/>
        </w:rPr>
        <w:t> </w:t>
      </w:r>
    </w:p>
    <w:tbl>
      <w:tblPr>
        <w:tblW w:w="9250" w:type="dxa"/>
        <w:jc w:val="left"/>
        <w:tblInd w:w="0" w:type="dxa"/>
        <w:tblLayout w:type="fixed"/>
        <w:tblCellMar>
          <w:top w:w="0" w:type="dxa"/>
          <w:left w:w="0" w:type="dxa"/>
          <w:bottom w:w="0" w:type="dxa"/>
          <w:right w:w="0" w:type="dxa"/>
        </w:tblCellMar>
      </w:tblPr>
      <w:tblGrid>
        <w:gridCol w:w="75"/>
        <w:gridCol w:w="170"/>
        <w:gridCol w:w="900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005" w:type="dxa"/>
            <w:tcBorders/>
            <w:vAlign w:val="center"/>
          </w:tcPr>
          <w:p>
            <w:pPr>
              <w:pStyle w:val="TableContents"/>
              <w:bidi w:val="0"/>
              <w:spacing w:before="0" w:after="283"/>
              <w:jc w:val="both"/>
              <w:rPr>
                <w:sz w:val="20"/>
              </w:rPr>
            </w:pPr>
            <w:r>
              <w:rPr>
                <w:sz w:val="20"/>
              </w:rPr>
              <w:t>the potential benefits of strategic collaboration agreements and our ability to enter into strategic arrangements;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sz w:val="20"/>
              </w:rPr>
            </w:pPr>
            <w:r>
              <w:rPr>
                <w:sz w:val="20"/>
              </w:rPr>
              <w:t>our ability to maintain and establish collaborations or obtain additional grant funding; the rate and degree of market acceptance of our drug and device candidates;</w:t>
            </w:r>
          </w:p>
        </w:tc>
      </w:tr>
    </w:tbl>
    <w:p>
      <w:pPr>
        <w:pStyle w:val="TextBody"/>
        <w:bidi w:val="0"/>
        <w:spacing w:before="0" w:after="0"/>
        <w:ind w:left="0" w:right="0" w:hanging="0"/>
        <w:jc w:val="left"/>
        <w:rPr>
          <w:caps w:val="false"/>
          <w:smallCaps w:val="false"/>
        </w:rPr>
      </w:pPr>
      <w:r>
        <w:rPr>
          <w:caps w:val="false"/>
          <w:smallCaps w:val="false"/>
        </w:rPr>
        <w:t> </w:t>
      </w:r>
    </w:p>
    <w:tbl>
      <w:tblPr>
        <w:tblW w:w="7330" w:type="dxa"/>
        <w:jc w:val="left"/>
        <w:tblInd w:w="0" w:type="dxa"/>
        <w:tblLayout w:type="fixed"/>
        <w:tblCellMar>
          <w:top w:w="0" w:type="dxa"/>
          <w:left w:w="0" w:type="dxa"/>
          <w:bottom w:w="0" w:type="dxa"/>
          <w:right w:w="0" w:type="dxa"/>
        </w:tblCellMar>
      </w:tblPr>
      <w:tblGrid>
        <w:gridCol w:w="75"/>
        <w:gridCol w:w="170"/>
        <w:gridCol w:w="708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7085" w:type="dxa"/>
            <w:tcBorders/>
            <w:vAlign w:val="center"/>
          </w:tcPr>
          <w:p>
            <w:pPr>
              <w:pStyle w:val="TableContents"/>
              <w:bidi w:val="0"/>
              <w:spacing w:before="0" w:after="283"/>
              <w:jc w:val="both"/>
              <w:rPr>
                <w:sz w:val="20"/>
              </w:rPr>
            </w:pPr>
            <w:r>
              <w:rPr>
                <w:sz w:val="20"/>
              </w:rPr>
              <w:t>developments relating to our competitors and industry, including competing therapies;</w:t>
            </w:r>
          </w:p>
        </w:tc>
      </w:tr>
    </w:tbl>
    <w:p>
      <w:pPr>
        <w:pStyle w:val="TextBody"/>
        <w:bidi w:val="0"/>
        <w:spacing w:before="0" w:after="0"/>
        <w:ind w:left="0" w:right="0" w:hanging="0"/>
        <w:jc w:val="left"/>
        <w:rPr>
          <w:caps w:val="false"/>
          <w:smallCaps w:val="false"/>
        </w:rPr>
      </w:pPr>
      <w:r>
        <w:rPr>
          <w:caps w:val="false"/>
          <w:smallCaps w:val="false"/>
        </w:rPr>
        <w:t> </w:t>
      </w:r>
    </w:p>
    <w:tbl>
      <w:tblPr>
        <w:tblW w:w="4885" w:type="dxa"/>
        <w:jc w:val="left"/>
        <w:tblInd w:w="0" w:type="dxa"/>
        <w:tblLayout w:type="fixed"/>
        <w:tblCellMar>
          <w:top w:w="0" w:type="dxa"/>
          <w:left w:w="0" w:type="dxa"/>
          <w:bottom w:w="0" w:type="dxa"/>
          <w:right w:w="0" w:type="dxa"/>
        </w:tblCellMar>
      </w:tblPr>
      <w:tblGrid>
        <w:gridCol w:w="75"/>
        <w:gridCol w:w="170"/>
        <w:gridCol w:w="464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4640" w:type="dxa"/>
            <w:tcBorders/>
            <w:vAlign w:val="center"/>
          </w:tcPr>
          <w:p>
            <w:pPr>
              <w:pStyle w:val="TableContents"/>
              <w:bidi w:val="0"/>
              <w:spacing w:before="0" w:after="283"/>
              <w:jc w:val="both"/>
              <w:rPr>
                <w:sz w:val="20"/>
              </w:rPr>
            </w:pPr>
            <w:r>
              <w:rPr>
                <w:sz w:val="20"/>
              </w:rPr>
              <w:t>our ability to effectively manage our anticipated growth;</w:t>
            </w:r>
          </w:p>
        </w:tc>
      </w:tr>
    </w:tbl>
    <w:p>
      <w:pPr>
        <w:pStyle w:val="TextBody"/>
        <w:bidi w:val="0"/>
        <w:spacing w:before="0" w:after="0"/>
        <w:ind w:left="0" w:right="0" w:hanging="0"/>
        <w:jc w:val="left"/>
        <w:rPr>
          <w:caps w:val="false"/>
          <w:smallCaps w:val="false"/>
        </w:rPr>
      </w:pPr>
      <w:r>
        <w:rPr>
          <w:caps w:val="false"/>
          <w:smallCaps w:val="false"/>
        </w:rPr>
        <w:t>  </w:t>
      </w:r>
    </w:p>
    <w:tbl>
      <w:tblPr>
        <w:tblW w:w="6040" w:type="dxa"/>
        <w:jc w:val="left"/>
        <w:tblInd w:w="0" w:type="dxa"/>
        <w:tblLayout w:type="fixed"/>
        <w:tblCellMar>
          <w:top w:w="0" w:type="dxa"/>
          <w:left w:w="0" w:type="dxa"/>
          <w:bottom w:w="0" w:type="dxa"/>
          <w:right w:w="0" w:type="dxa"/>
        </w:tblCellMar>
      </w:tblPr>
      <w:tblGrid>
        <w:gridCol w:w="75"/>
        <w:gridCol w:w="170"/>
        <w:gridCol w:w="579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5795" w:type="dxa"/>
            <w:tcBorders/>
            <w:vAlign w:val="center"/>
          </w:tcPr>
          <w:p>
            <w:pPr>
              <w:pStyle w:val="TableContents"/>
              <w:bidi w:val="0"/>
              <w:spacing w:before="0" w:after="283"/>
              <w:jc w:val="both"/>
              <w:rPr>
                <w:sz w:val="20"/>
              </w:rPr>
            </w:pPr>
            <w:r>
              <w:rPr>
                <w:sz w:val="20"/>
              </w:rPr>
              <w:t>our ability to attract and retain qualified employees and key personnel;</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sz w:val="20"/>
              </w:rPr>
            </w:pPr>
            <w:r>
              <w:rPr>
                <w:sz w:val="20"/>
              </w:rPr>
              <w:t>statements regarding future revenue, hiring plans, expenses, capital expenditures, capital requirements and share performance;</w:t>
            </w:r>
          </w:p>
        </w:tc>
      </w:tr>
    </w:tbl>
    <w:p>
      <w:pPr>
        <w:pStyle w:val="TextBody"/>
        <w:bidi w:val="0"/>
        <w:spacing w:before="0" w:after="0"/>
        <w:ind w:left="0" w:right="0" w:hanging="0"/>
        <w:jc w:val="left"/>
        <w:rPr>
          <w:caps w:val="false"/>
          <w:smallCaps w:val="false"/>
        </w:rPr>
      </w:pPr>
      <w:r>
        <w:rPr>
          <w:caps w:val="false"/>
          <w:smallCaps w:val="false"/>
        </w:rPr>
        <w:t> </w:t>
      </w:r>
    </w:p>
    <w:tbl>
      <w:tblPr>
        <w:tblW w:w="8950" w:type="dxa"/>
        <w:jc w:val="left"/>
        <w:tblInd w:w="0" w:type="dxa"/>
        <w:tblLayout w:type="fixed"/>
        <w:tblCellMar>
          <w:top w:w="0" w:type="dxa"/>
          <w:left w:w="0" w:type="dxa"/>
          <w:bottom w:w="0" w:type="dxa"/>
          <w:right w:w="0" w:type="dxa"/>
        </w:tblCellMar>
      </w:tblPr>
      <w:tblGrid>
        <w:gridCol w:w="75"/>
        <w:gridCol w:w="170"/>
        <w:gridCol w:w="870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8705" w:type="dxa"/>
            <w:tcBorders/>
            <w:vAlign w:val="center"/>
          </w:tcPr>
          <w:p>
            <w:pPr>
              <w:pStyle w:val="TableContents"/>
              <w:bidi w:val="0"/>
              <w:spacing w:before="0" w:after="283"/>
              <w:jc w:val="both"/>
              <w:rPr>
                <w:sz w:val="20"/>
              </w:rPr>
            </w:pPr>
            <w:r>
              <w:rPr>
                <w:sz w:val="20"/>
              </w:rPr>
              <w:t>the future trading price of our Common Stock and impact of securities analysts’ reports on these prices; and</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8705"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8705" w:type="dxa"/>
            <w:tcBorders/>
            <w:vAlign w:val="center"/>
          </w:tcPr>
          <w:p>
            <w:pPr>
              <w:pStyle w:val="TableContents"/>
              <w:bidi w:val="0"/>
              <w:spacing w:before="0" w:after="283"/>
              <w:jc w:val="both"/>
              <w:rPr>
                <w:sz w:val="20"/>
              </w:rPr>
            </w:pPr>
            <w:r>
              <w:rPr>
                <w:sz w:val="20"/>
              </w:rPr>
              <w:t>other risks and uncertainties, including those listed under the caption “Risk Factors.”</w:t>
            </w:r>
          </w:p>
        </w:tc>
      </w:tr>
    </w:tbl>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Because forward-looking statements relate to the future, they are subject to inherent uncertainties, risks and changes in circumstances that are difficult to predict and many of which are outside of our control. Forward-looking statements are not guarantees of future performance, and our actual results of operations, financial condition and liquidity and development of the industry in which the Company operates may differ materially from those made in or suggested by the forward-looking statements. Therefore, investors should not rely on any of these forward-looking statements. Factors that may cause actual results to differ materially include changes in the markets in which the Company operates, customer demand, the financial markets, economic, business and regulatory and other factors, such as the Company’s ability to execute on its strategy. More detailed information about risk factors can be found in this prospectus, the Company’s Annual Report on Form 20-F and the Company’s Reports on Form 6-K under the heading “Risk Factors,” and in other reports filed by the Company, including reports on Form 8-K. The Company does not undertake any duty to update forward-looking statements after the date they are made, except as required by law.</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iv</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4" w:name="a_003"/>
      <w:bookmarkEnd w:id="4"/>
      <w:r>
        <w:rPr>
          <w:rFonts w:ascii="Times New Roman;Times;Serif" w:hAnsi="Times New Roman;Times;Serif"/>
          <w:b/>
          <w:i w:val="false"/>
          <w:caps w:val="false"/>
          <w:smallCaps w:val="false"/>
          <w:sz w:val="20"/>
        </w:rPr>
        <w:t>ABOUT NIKI</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Overview</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July 20, 2026 (the “Closing Date”), after obtaining the requisite shareholder approval and satisfying the closing conditions, Niki BioSolutions, Inc. (formerly known as Aptorum Group Limited, a Cayman Islands exempted company with limited liability (“Aptorum”)) consummated its previously announced merger (the “Closing”) pursuant to that certain Agreement and Plan of Merger on July 14, 2025, (the “Merger Agreement”), between Aptorum and DiamiR Biosciences Corp., a Delaware corporation (“DiamiR”), pursuant to which, among other matters, Aptorum was to form a direct, wholly owned subsidiary in the state of Delaware (“Merger Sub”).</w:t>
      </w:r>
    </w:p>
    <w:p>
      <w:pPr>
        <w:pStyle w:val="TextBody"/>
        <w:shd w:fill="FFFFFF" w:val="clear"/>
        <w:bidi w:val="0"/>
        <w:spacing w:before="0" w:after="0"/>
        <w:ind w:left="0" w:right="0" w:firstLine="720"/>
        <w:jc w:val="both"/>
        <w:rPr>
          <w:caps w:val="false"/>
          <w:smallCaps w:val="false"/>
        </w:rPr>
      </w:pPr>
      <w:r>
        <w:rPr>
          <w:caps w:val="false"/>
          <w:smallCaps w:val="false"/>
        </w:rPr>
        <w:t> </w:t>
      </w:r>
    </w:p>
    <w:p>
      <w:pPr>
        <w:pStyle w:val="TextBody"/>
        <w:shd w:fill="FFFFFF" w:val="clear"/>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terms of the Merger Agreement, immediately prior to the Closing on July 20, 2026, Aptorum affected a domestication under Section 388 of the General Corporation Law of the State of Delaware (the “DGCL”) and Section 206 of the Companies Act (as revised) of the Cayman Islands (the “Domestication”), pursuant to which Aptorum transferred by way of continuation to and became a Delaware corporation. On July 20, 2026, immediately following the Domestication, Merger Sub merged with and into DiamiR in accordance with the applicable provisions of the DGCL, with DiamiR continuing as the surviving company and a wholly-owned subsidiary of Aptorum (the “Merger”). As part of the Domestication, Aptorum changed its name to Niki BioSolutions, Inc. (the “Company” or “Niki”) and filed Niki’s Certificate of Incorporation with the Delaware Secretary of State, which replaced Aptorum’s memorandum and articles in effect as of such time. In connection with the Merger, the Company’s common stock, par value $0.0001 per share (the “Niki Common Stock”), trades on Nasdaq under the symbol “NIKI”. In connection with the name change, the CUSIP number for the Niki Common Stock is </w:t>
      </w:r>
      <w:r>
        <w:rPr>
          <w:rFonts w:ascii="Times New Roman;Times;Serif" w:hAnsi="Times New Roman;Times;Serif"/>
          <w:b w:val="false"/>
          <w:i/>
          <w:caps w:val="false"/>
          <w:smallCaps w:val="false"/>
          <w:sz w:val="20"/>
        </w:rPr>
        <w:t>653942 102</w:t>
      </w:r>
      <w:r>
        <w:rPr>
          <w:rFonts w:ascii="Times New Roman;Times;Serif" w:hAnsi="Times New Roman;Times;Serif"/>
          <w:b w:val="false"/>
          <w:i w:val="false"/>
          <w:caps w:val="false"/>
          <w:smallCaps w:val="false"/>
          <w:sz w:val="20"/>
        </w:rPr>
        <w:t>.</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Following the Domestication, each then issued and outstanding Class A ordinary share of Aptorum converted automatically, on a one-for-one basis, into a share of Niki’s common stock, par value $0.0001 per share (the “Niki Common Stock”), and each then issued and outstanding Class B ordinary share of Aptorum converted automatically into a share of Niki Common Stock and a share of Niki’s non-voting and non-convertible Series A preferred stock (the “Series A Preferred Stock”).</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Merger, each then-outstanding share of DiamiR’s common stock was converted into a number of shares of Niki Common Stock equal to the Conversion Ratio, which was the number resulting from dividing (i) 0.4102, which is the quotient of dividing the total number of Aptorum ordinary shares on a fully diluted basis by the total number of shares of DiamiR common stock on a fully diluted basis, by (ii) three-sevenths (3/7).</w:t>
      </w:r>
    </w:p>
    <w:p>
      <w:pPr>
        <w:pStyle w:val="TextBody"/>
        <w:shd w:fill="FFFFFF" w:val="clear"/>
        <w:bidi w:val="0"/>
        <w:spacing w:before="0" w:after="0"/>
        <w:ind w:left="0" w:right="0" w:firstLine="720"/>
        <w:jc w:val="both"/>
        <w:rPr>
          <w:caps w:val="false"/>
          <w:smallCaps w:val="false"/>
        </w:rPr>
      </w:pPr>
      <w:r>
        <w:rPr>
          <w:caps w:val="false"/>
          <w:smallCaps w:val="false"/>
        </w:rPr>
        <w:t> </w:t>
      </w:r>
    </w:p>
    <w:p>
      <w:pPr>
        <w:pStyle w:val="TextBody"/>
        <w:shd w:fill="FFFFFF" w:val="clear"/>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Niki BioSolutions is a clinical-stage life sciences company focused on unmet medical needs and high-quality genomic and biomarker testing solutions to healthcare providers, research institutions, and life sciences organizations through its CLIA-certified, CAP-accredited laboratory. The company combines proprietary technologies with a commitment to scientific rigor to support precision medicine across a range of therapeutic areas, including brain health and oncology. Niki BioSolutions collaborates with leading academic centers, disease foundations, and biopharma companies.</w:t>
      </w:r>
    </w:p>
    <w:p>
      <w:pPr>
        <w:pStyle w:val="TextBody"/>
        <w:shd w:fill="FFFFFF" w:val="clear"/>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Common Stock is currently listed on The Nasdaq Capital Market under the symbol “NIKI.”</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rights of holders of our Common Stock are governed by our certificate of incorporation (the “Charter”), our bylaws (the “Bylaws”) and the Delaware General Corporation Law (the “DGCL”).</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principal executive offices are located at 116 Village Boulevard, Suite 200, Princeton, NJ 08540. Our telephone number is (609)-951-2222.</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Implications of Being a Smaller Reporting Company</w:t>
      </w:r>
      <w:r>
        <w:rPr>
          <w:rFonts w:ascii="Times New Roman;Times;Serif" w:hAnsi="Times New Roman;Times;Serif"/>
          <w:b w:val="false"/>
          <w:i w:val="false"/>
          <w:caps w:val="false"/>
          <w:smallCaps w:val="false"/>
          <w:sz w:val="2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a “smaller reporting company” as defined in the Securities Exchange Act of 1934, as amended (the “Exchange Act”). We may take advantage of certain of the scaled disclosures available to smaller reporting companies and will be able to take advantage of these scaled disclosures for so long as the market value of our voting and non-voting Common Stock held by non-affiliates is less than $250.0 million measured on the last business day of our second fiscal quarter, or our annual revenue is less than $100.0 million during the most recently completed fiscal year and the market value of our voting and non-voting Common Stock held by non-affiliates is less than $700.0 million measured on the last business day of our second fiscal quarter.</w:t>
      </w:r>
    </w:p>
    <w:p>
      <w:pPr>
        <w:pStyle w:val="TextBody"/>
        <w:shd w:fill="FFFFFF" w:val="clear"/>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a result, the information in this prospectus and that we provide to our investors in the future may be different than what you might receive from other public reporting companies.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1 </w:t>
      </w:r>
    </w:p>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5" w:name="a_004"/>
      <w:bookmarkEnd w:id="5"/>
      <w:r>
        <w:rPr>
          <w:rFonts w:ascii="Times New Roman;Times;Serif" w:hAnsi="Times New Roman;Times;Serif"/>
          <w:b/>
          <w:i w:val="false"/>
          <w:caps w:val="false"/>
          <w:smallCaps w:val="false"/>
          <w:sz w:val="20"/>
        </w:rPr>
        <w:t>RISK FACTORS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Investing in our securities involves a high degree of risk. Before making an investment decision, you should carefully consider the risks, uncertainties and other factors described in the Registration Statement on Form S-4 (Registration No. 333-290742), which the SEC declared effective on May 13, 2026 and the periodic reports that we have filed or will file with the SEC, which are incorporated by reference into this prospectus.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SELECTED FINANCIAL DATA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AS REPORTED</w:t>
      </w:r>
    </w:p>
    <w:p>
      <w:pPr>
        <w:pStyle w:val="TextBody"/>
        <w:bidi w:val="0"/>
        <w:spacing w:before="0" w:after="0"/>
        <w:ind w:left="0" w:right="0" w:hanging="0"/>
        <w:jc w:val="both"/>
        <w:rPr>
          <w:caps w:val="false"/>
          <w:smallCaps w:val="false"/>
        </w:rPr>
      </w:pPr>
      <w:r>
        <w:rPr>
          <w:caps w:val="false"/>
          <w:smallCaps w:val="false"/>
        </w:rPr>
        <w:t> </w:t>
      </w:r>
    </w:p>
    <w:tbl>
      <w:tblPr>
        <w:tblW w:w="8855" w:type="dxa"/>
        <w:jc w:val="left"/>
        <w:tblInd w:w="0" w:type="dxa"/>
        <w:tblLayout w:type="fixed"/>
        <w:tblCellMar>
          <w:top w:w="0" w:type="dxa"/>
          <w:left w:w="0" w:type="dxa"/>
          <w:bottom w:w="0" w:type="dxa"/>
          <w:right w:w="0" w:type="dxa"/>
        </w:tblCellMar>
      </w:tblPr>
      <w:tblGrid>
        <w:gridCol w:w="6140"/>
        <w:gridCol w:w="60"/>
        <w:gridCol w:w="140"/>
        <w:gridCol w:w="1055"/>
        <w:gridCol w:w="95"/>
        <w:gridCol w:w="60"/>
        <w:gridCol w:w="140"/>
        <w:gridCol w:w="1055"/>
        <w:gridCol w:w="110"/>
      </w:tblGrid>
      <w:tr>
        <w:trPr/>
        <w:tc>
          <w:tcPr>
            <w:tcW w:w="614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545" w:type="dxa"/>
            <w:gridSpan w:val="6"/>
            <w:tcBorders/>
            <w:vAlign w:val="center"/>
          </w:tcPr>
          <w:p>
            <w:pPr>
              <w:pStyle w:val="TableContents"/>
              <w:bidi w:val="0"/>
              <w:spacing w:before="0" w:after="283"/>
              <w:jc w:val="center"/>
              <w:rPr>
                <w:b/>
              </w:rPr>
            </w:pPr>
            <w:r>
              <w:rPr>
                <w:b/>
              </w:rPr>
              <w:t>Year Ended</w:t>
            </w:r>
          </w:p>
        </w:tc>
        <w:tc>
          <w:tcPr>
            <w:tcW w:w="110" w:type="dxa"/>
            <w:tcBorders/>
            <w:vAlign w:val="center"/>
          </w:tcPr>
          <w:p>
            <w:pPr>
              <w:pStyle w:val="TableContents"/>
              <w:bidi w:val="0"/>
              <w:spacing w:before="0" w:after="283"/>
              <w:jc w:val="left"/>
              <w:rPr/>
            </w:pPr>
            <w:r>
              <w:rPr/>
              <w:t> </w:t>
            </w:r>
          </w:p>
        </w:tc>
      </w:tr>
      <w:tr>
        <w:trPr/>
        <w:tc>
          <w:tcPr>
            <w:tcW w:w="614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545"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December 31.</w:t>
            </w:r>
          </w:p>
        </w:tc>
        <w:tc>
          <w:tcPr>
            <w:tcW w:w="110" w:type="dxa"/>
            <w:tcBorders/>
            <w:vAlign w:val="center"/>
          </w:tcPr>
          <w:p>
            <w:pPr>
              <w:pStyle w:val="TableContents"/>
              <w:bidi w:val="0"/>
              <w:spacing w:before="0" w:after="283"/>
              <w:jc w:val="left"/>
              <w:rPr/>
            </w:pPr>
            <w:r>
              <w:rPr/>
              <w:t> </w:t>
            </w:r>
          </w:p>
        </w:tc>
      </w:tr>
      <w:tr>
        <w:trPr/>
        <w:tc>
          <w:tcPr>
            <w:tcW w:w="614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9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2025</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9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2024</w:t>
            </w:r>
          </w:p>
        </w:tc>
        <w:tc>
          <w:tcPr>
            <w:tcW w:w="110" w:type="dxa"/>
            <w:tcBorders/>
            <w:vAlign w:val="center"/>
          </w:tcPr>
          <w:p>
            <w:pPr>
              <w:pStyle w:val="TableContents"/>
              <w:bidi w:val="0"/>
              <w:spacing w:before="0" w:after="283"/>
              <w:jc w:val="left"/>
              <w:rPr/>
            </w:pPr>
            <w:r>
              <w:rPr/>
              <w:t> </w:t>
            </w:r>
          </w:p>
        </w:tc>
      </w:tr>
      <w:tr>
        <w:trPr/>
        <w:tc>
          <w:tcPr>
            <w:tcW w:w="6140" w:type="dxa"/>
            <w:tcBorders/>
            <w:shd w:fill="CCEEFF" w:val="clear"/>
            <w:vAlign w:val="center"/>
          </w:tcPr>
          <w:p>
            <w:pPr>
              <w:pStyle w:val="TableContents"/>
              <w:bidi w:val="0"/>
              <w:spacing w:before="0" w:after="283"/>
              <w:jc w:val="left"/>
              <w:rPr/>
            </w:pPr>
            <w:r>
              <w:rPr/>
              <w:t>Net loss available to common shareholders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055" w:type="dxa"/>
            <w:tcBorders/>
            <w:shd w:fill="CCEEFF" w:val="clear"/>
            <w:vAlign w:val="center"/>
          </w:tcPr>
          <w:p>
            <w:pPr>
              <w:pStyle w:val="TableContents"/>
              <w:bidi w:val="0"/>
              <w:spacing w:before="0" w:after="283"/>
              <w:jc w:val="right"/>
              <w:rPr/>
            </w:pPr>
            <w:r>
              <w:rPr/>
              <w:t>(1,363,270</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055" w:type="dxa"/>
            <w:tcBorders/>
            <w:shd w:fill="CCEEFF" w:val="clear"/>
            <w:vAlign w:val="center"/>
          </w:tcPr>
          <w:p>
            <w:pPr>
              <w:pStyle w:val="TableContents"/>
              <w:bidi w:val="0"/>
              <w:spacing w:before="0" w:after="283"/>
              <w:jc w:val="right"/>
              <w:rPr/>
            </w:pPr>
            <w:r>
              <w:rPr/>
              <w:t>(4,267,806</w:t>
            </w:r>
          </w:p>
        </w:tc>
        <w:tc>
          <w:tcPr>
            <w:tcW w:w="110" w:type="dxa"/>
            <w:tcBorders/>
            <w:shd w:fill="CCEEFF" w:val="clear"/>
            <w:vAlign w:val="center"/>
          </w:tcPr>
          <w:p>
            <w:pPr>
              <w:pStyle w:val="TableContents"/>
              <w:bidi w:val="0"/>
              <w:spacing w:before="0" w:after="283"/>
              <w:jc w:val="left"/>
              <w:rPr/>
            </w:pPr>
            <w:r>
              <w:rPr/>
              <w:t>)</w:t>
            </w:r>
          </w:p>
        </w:tc>
      </w:tr>
      <w:tr>
        <w:trPr/>
        <w:tc>
          <w:tcPr>
            <w:tcW w:w="6140" w:type="dxa"/>
            <w:tcBorders/>
            <w:shd w:fill="FFFFFF" w:val="clear"/>
            <w:vAlign w:val="center"/>
          </w:tcPr>
          <w:p>
            <w:pPr>
              <w:pStyle w:val="TableContents"/>
              <w:bidi w:val="0"/>
              <w:spacing w:before="0" w:after="283"/>
              <w:jc w:val="left"/>
              <w:rPr/>
            </w:pPr>
            <w:r>
              <w:rPr/>
              <w:t>Net loss per common share, basic and diluted</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w:t>
            </w:r>
          </w:p>
        </w:tc>
        <w:tc>
          <w:tcPr>
            <w:tcW w:w="1055" w:type="dxa"/>
            <w:tcBorders/>
            <w:shd w:fill="FFFFFF" w:val="clear"/>
            <w:vAlign w:val="center"/>
          </w:tcPr>
          <w:p>
            <w:pPr>
              <w:pStyle w:val="TableContents"/>
              <w:bidi w:val="0"/>
              <w:spacing w:before="0" w:after="283"/>
              <w:jc w:val="right"/>
              <w:rPr/>
            </w:pPr>
            <w:r>
              <w:rPr/>
              <w:t>(0.19</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w:t>
            </w:r>
          </w:p>
        </w:tc>
        <w:tc>
          <w:tcPr>
            <w:tcW w:w="1055" w:type="dxa"/>
            <w:tcBorders/>
            <w:shd w:fill="FFFFFF" w:val="clear"/>
            <w:vAlign w:val="center"/>
          </w:tcPr>
          <w:p>
            <w:pPr>
              <w:pStyle w:val="TableContents"/>
              <w:bidi w:val="0"/>
              <w:spacing w:before="0" w:after="283"/>
              <w:jc w:val="right"/>
              <w:rPr/>
            </w:pPr>
            <w:r>
              <w:rPr/>
              <w:t>(0.78</w:t>
            </w:r>
          </w:p>
        </w:tc>
        <w:tc>
          <w:tcPr>
            <w:tcW w:w="110" w:type="dxa"/>
            <w:tcBorders/>
            <w:shd w:fill="FFFFFF" w:val="clear"/>
            <w:vAlign w:val="center"/>
          </w:tcPr>
          <w:p>
            <w:pPr>
              <w:pStyle w:val="TableContents"/>
              <w:bidi w:val="0"/>
              <w:spacing w:before="0" w:after="283"/>
              <w:jc w:val="left"/>
              <w:rPr/>
            </w:pPr>
            <w:r>
              <w:rPr/>
              <w:t>)</w:t>
            </w:r>
          </w:p>
        </w:tc>
      </w:tr>
      <w:tr>
        <w:trPr/>
        <w:tc>
          <w:tcPr>
            <w:tcW w:w="6140" w:type="dxa"/>
            <w:tcBorders/>
            <w:shd w:fill="CCEEFF" w:val="clear"/>
            <w:vAlign w:val="center"/>
          </w:tcPr>
          <w:p>
            <w:pPr>
              <w:pStyle w:val="TableContents"/>
              <w:bidi w:val="0"/>
              <w:spacing w:before="0" w:after="283"/>
              <w:jc w:val="left"/>
              <w:rPr/>
            </w:pPr>
            <w:r>
              <w:rPr/>
              <w:t>Weighted average common shares outstanding, basic and diluted</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7,351,784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5,453,103</w:t>
            </w:r>
          </w:p>
        </w:tc>
        <w:tc>
          <w:tcPr>
            <w:tcW w:w="110" w:type="dxa"/>
            <w:tcBorders/>
            <w:shd w:fill="CCEEFF" w:val="clear"/>
            <w:vAlign w:val="center"/>
          </w:tcPr>
          <w:p>
            <w:pPr>
              <w:pStyle w:val="TableContents"/>
              <w:bidi w:val="0"/>
              <w:spacing w:before="0" w:after="283"/>
              <w:jc w:val="left"/>
              <w:rPr/>
            </w:pPr>
            <w:r>
              <w:rPr/>
              <w:t> </w:t>
            </w:r>
          </w:p>
        </w:tc>
      </w:tr>
      <w:tr>
        <w:trPr/>
        <w:tc>
          <w:tcPr>
            <w:tcW w:w="6140" w:type="dxa"/>
            <w:tcBorders/>
            <w:shd w:fill="FFFFFF" w:val="clear"/>
            <w:vAlign w:val="center"/>
          </w:tcPr>
          <w:p>
            <w:pPr>
              <w:pStyle w:val="TableContents"/>
              <w:bidi w:val="0"/>
              <w:spacing w:before="0" w:after="283"/>
              <w:jc w:val="left"/>
              <w:rPr/>
            </w:pPr>
            <w:r>
              <w:rPr/>
              <w:t>Common shares outstanding at year end</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8,143,757</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5,608,757</w:t>
            </w:r>
          </w:p>
        </w:tc>
        <w:tc>
          <w:tcPr>
            <w:tcW w:w="110"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tbl>
      <w:tblPr>
        <w:tblW w:w="8333" w:type="dxa"/>
        <w:jc w:val="left"/>
        <w:tblInd w:w="0" w:type="dxa"/>
        <w:tblLayout w:type="fixed"/>
        <w:tblCellMar>
          <w:top w:w="0" w:type="dxa"/>
          <w:left w:w="0" w:type="dxa"/>
          <w:bottom w:w="0" w:type="dxa"/>
          <w:right w:w="0" w:type="dxa"/>
        </w:tblCellMar>
      </w:tblPr>
      <w:tblGrid>
        <w:gridCol w:w="5510"/>
        <w:gridCol w:w="60"/>
        <w:gridCol w:w="146"/>
        <w:gridCol w:w="1103"/>
        <w:gridCol w:w="95"/>
        <w:gridCol w:w="60"/>
        <w:gridCol w:w="172"/>
        <w:gridCol w:w="1077"/>
        <w:gridCol w:w="110"/>
      </w:tblGrid>
      <w:tr>
        <w:trPr/>
        <w:tc>
          <w:tcPr>
            <w:tcW w:w="551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53" w:type="dxa"/>
            <w:gridSpan w:val="6"/>
            <w:tcBorders/>
            <w:vAlign w:val="center"/>
          </w:tcPr>
          <w:p>
            <w:pPr>
              <w:pStyle w:val="TableContents"/>
              <w:bidi w:val="0"/>
              <w:spacing w:before="0" w:after="283"/>
              <w:jc w:val="center"/>
              <w:rPr>
                <w:b/>
              </w:rPr>
            </w:pPr>
            <w:r>
              <w:rPr>
                <w:b/>
              </w:rPr>
              <w:t>Six Months Ended</w:t>
            </w:r>
          </w:p>
        </w:tc>
        <w:tc>
          <w:tcPr>
            <w:tcW w:w="110" w:type="dxa"/>
            <w:tcBorders/>
            <w:vAlign w:val="center"/>
          </w:tcPr>
          <w:p>
            <w:pPr>
              <w:pStyle w:val="TableContents"/>
              <w:bidi w:val="0"/>
              <w:spacing w:before="0" w:after="283"/>
              <w:jc w:val="left"/>
              <w:rPr/>
            </w:pPr>
            <w:r>
              <w:rPr/>
              <w:t> </w:t>
            </w:r>
          </w:p>
        </w:tc>
      </w:tr>
      <w:tr>
        <w:trPr/>
        <w:tc>
          <w:tcPr>
            <w:tcW w:w="551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53"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June 30,</w:t>
            </w:r>
          </w:p>
        </w:tc>
        <w:tc>
          <w:tcPr>
            <w:tcW w:w="110" w:type="dxa"/>
            <w:tcBorders/>
            <w:vAlign w:val="center"/>
          </w:tcPr>
          <w:p>
            <w:pPr>
              <w:pStyle w:val="TableContents"/>
              <w:bidi w:val="0"/>
              <w:spacing w:before="0" w:after="283"/>
              <w:jc w:val="left"/>
              <w:rPr/>
            </w:pPr>
            <w:r>
              <w:rPr/>
              <w:t> </w:t>
            </w:r>
          </w:p>
        </w:tc>
      </w:tr>
      <w:tr>
        <w:trPr/>
        <w:tc>
          <w:tcPr>
            <w:tcW w:w="551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49"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2026</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49"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2025</w:t>
            </w:r>
          </w:p>
        </w:tc>
        <w:tc>
          <w:tcPr>
            <w:tcW w:w="110" w:type="dxa"/>
            <w:tcBorders/>
            <w:vAlign w:val="center"/>
          </w:tcPr>
          <w:p>
            <w:pPr>
              <w:pStyle w:val="TableContents"/>
              <w:bidi w:val="0"/>
              <w:spacing w:before="0" w:after="283"/>
              <w:jc w:val="left"/>
              <w:rPr/>
            </w:pPr>
            <w:r>
              <w:rPr/>
              <w:t> </w:t>
            </w:r>
          </w:p>
        </w:tc>
      </w:tr>
      <w:tr>
        <w:trPr/>
        <w:tc>
          <w:tcPr>
            <w:tcW w:w="551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49"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(Unaudited)</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49"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(Unaudited)</w:t>
            </w:r>
          </w:p>
        </w:tc>
        <w:tc>
          <w:tcPr>
            <w:tcW w:w="110" w:type="dxa"/>
            <w:tcBorders/>
            <w:vAlign w:val="center"/>
          </w:tcPr>
          <w:p>
            <w:pPr>
              <w:pStyle w:val="TableContents"/>
              <w:bidi w:val="0"/>
              <w:spacing w:before="0" w:after="283"/>
              <w:jc w:val="left"/>
              <w:rPr/>
            </w:pPr>
            <w:r>
              <w:rPr/>
              <w:t> </w:t>
            </w:r>
          </w:p>
        </w:tc>
      </w:tr>
      <w:tr>
        <w:trPr/>
        <w:tc>
          <w:tcPr>
            <w:tcW w:w="5510" w:type="dxa"/>
            <w:tcBorders/>
            <w:shd w:fill="CCEEFF" w:val="clear"/>
            <w:vAlign w:val="center"/>
          </w:tcPr>
          <w:p>
            <w:pPr>
              <w:pStyle w:val="TableContents"/>
              <w:bidi w:val="0"/>
              <w:spacing w:before="0" w:after="283"/>
              <w:jc w:val="left"/>
              <w:rPr/>
            </w:pPr>
            <w:r>
              <w:rPr/>
              <w:t>Net loss available to common shareholders</w:t>
            </w:r>
          </w:p>
        </w:tc>
        <w:tc>
          <w:tcPr>
            <w:tcW w:w="60"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w:t>
            </w:r>
          </w:p>
        </w:tc>
        <w:tc>
          <w:tcPr>
            <w:tcW w:w="1103" w:type="dxa"/>
            <w:tcBorders/>
            <w:shd w:fill="CCEEFF" w:val="clear"/>
            <w:vAlign w:val="center"/>
          </w:tcPr>
          <w:p>
            <w:pPr>
              <w:pStyle w:val="TableContents"/>
              <w:bidi w:val="0"/>
              <w:spacing w:before="0" w:after="283"/>
              <w:jc w:val="right"/>
              <w:rPr/>
            </w:pPr>
            <w:r>
              <w:rPr/>
              <w:t>(1,326,004</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72" w:type="dxa"/>
            <w:tcBorders/>
            <w:shd w:fill="CCEEFF" w:val="clear"/>
            <w:vAlign w:val="center"/>
          </w:tcPr>
          <w:p>
            <w:pPr>
              <w:pStyle w:val="TableContents"/>
              <w:bidi w:val="0"/>
              <w:spacing w:before="0" w:after="283"/>
              <w:jc w:val="left"/>
              <w:rPr/>
            </w:pPr>
            <w:r>
              <w:rPr/>
              <w:t>$</w:t>
            </w:r>
          </w:p>
        </w:tc>
        <w:tc>
          <w:tcPr>
            <w:tcW w:w="1077" w:type="dxa"/>
            <w:tcBorders/>
            <w:shd w:fill="CCEEFF" w:val="clear"/>
            <w:vAlign w:val="center"/>
          </w:tcPr>
          <w:p>
            <w:pPr>
              <w:pStyle w:val="TableContents"/>
              <w:bidi w:val="0"/>
              <w:spacing w:before="0" w:after="283"/>
              <w:jc w:val="right"/>
              <w:rPr/>
            </w:pPr>
            <w:r>
              <w:rPr/>
              <w:t>(441,780</w:t>
            </w:r>
          </w:p>
        </w:tc>
        <w:tc>
          <w:tcPr>
            <w:tcW w:w="110" w:type="dxa"/>
            <w:tcBorders/>
            <w:shd w:fill="CCEEFF" w:val="clear"/>
            <w:vAlign w:val="center"/>
          </w:tcPr>
          <w:p>
            <w:pPr>
              <w:pStyle w:val="TableContents"/>
              <w:bidi w:val="0"/>
              <w:spacing w:before="0" w:after="283"/>
              <w:jc w:val="left"/>
              <w:rPr/>
            </w:pPr>
            <w:r>
              <w:rPr/>
              <w:t>)</w:t>
            </w:r>
          </w:p>
        </w:tc>
      </w:tr>
      <w:tr>
        <w:trPr/>
        <w:tc>
          <w:tcPr>
            <w:tcW w:w="5510" w:type="dxa"/>
            <w:tcBorders/>
            <w:shd w:fill="FFFFFF" w:val="clear"/>
            <w:vAlign w:val="center"/>
          </w:tcPr>
          <w:p>
            <w:pPr>
              <w:pStyle w:val="TableContents"/>
              <w:bidi w:val="0"/>
              <w:spacing w:before="0" w:after="283"/>
              <w:jc w:val="left"/>
              <w:rPr/>
            </w:pPr>
            <w:r>
              <w:rPr/>
              <w:t>Net loss per common share, basic and diluted</w:t>
            </w:r>
          </w:p>
        </w:tc>
        <w:tc>
          <w:tcPr>
            <w:tcW w:w="60"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w:t>
            </w:r>
          </w:p>
        </w:tc>
        <w:tc>
          <w:tcPr>
            <w:tcW w:w="1103" w:type="dxa"/>
            <w:tcBorders/>
            <w:shd w:fill="FFFFFF" w:val="clear"/>
            <w:vAlign w:val="center"/>
          </w:tcPr>
          <w:p>
            <w:pPr>
              <w:pStyle w:val="TableContents"/>
              <w:bidi w:val="0"/>
              <w:spacing w:before="0" w:after="283"/>
              <w:jc w:val="right"/>
              <w:rPr/>
            </w:pPr>
            <w:r>
              <w:rPr/>
              <w:t>(1.6</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72" w:type="dxa"/>
            <w:tcBorders/>
            <w:shd w:fill="FFFFFF" w:val="clear"/>
            <w:vAlign w:val="center"/>
          </w:tcPr>
          <w:p>
            <w:pPr>
              <w:pStyle w:val="TableContents"/>
              <w:bidi w:val="0"/>
              <w:spacing w:before="0" w:after="283"/>
              <w:jc w:val="left"/>
              <w:rPr/>
            </w:pPr>
            <w:r>
              <w:rPr/>
              <w:t>$</w:t>
            </w:r>
          </w:p>
        </w:tc>
        <w:tc>
          <w:tcPr>
            <w:tcW w:w="1077" w:type="dxa"/>
            <w:tcBorders/>
            <w:shd w:fill="FFFFFF" w:val="clear"/>
            <w:vAlign w:val="center"/>
          </w:tcPr>
          <w:p>
            <w:pPr>
              <w:pStyle w:val="TableContents"/>
              <w:bidi w:val="0"/>
              <w:spacing w:before="0" w:after="283"/>
              <w:jc w:val="right"/>
              <w:rPr/>
            </w:pPr>
            <w:r>
              <w:rPr/>
              <w:t>(0.6</w:t>
            </w:r>
          </w:p>
        </w:tc>
        <w:tc>
          <w:tcPr>
            <w:tcW w:w="110" w:type="dxa"/>
            <w:tcBorders/>
            <w:shd w:fill="FFFFFF" w:val="clear"/>
            <w:vAlign w:val="center"/>
          </w:tcPr>
          <w:p>
            <w:pPr>
              <w:pStyle w:val="TableContents"/>
              <w:bidi w:val="0"/>
              <w:spacing w:before="0" w:after="283"/>
              <w:jc w:val="left"/>
              <w:rPr/>
            </w:pPr>
            <w:r>
              <w:rPr/>
              <w:t>)</w:t>
            </w:r>
          </w:p>
        </w:tc>
      </w:tr>
      <w:tr>
        <w:trPr/>
        <w:tc>
          <w:tcPr>
            <w:tcW w:w="551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Weighted average common shares outstanding, basic and diluted</w:t>
            </w:r>
            <w:r>
              <w:rPr>
                <w:rFonts w:ascii="Times New Roman;Times;Serif" w:hAnsi="Times New Roman;Times;Serif"/>
                <w:position w:val="7"/>
                <w:sz w:val="16"/>
                <w:sz w:val="20"/>
              </w:rPr>
              <w:t>(1)</w:t>
            </w:r>
          </w:p>
        </w:tc>
        <w:tc>
          <w:tcPr>
            <w:tcW w:w="60"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1103" w:type="dxa"/>
            <w:tcBorders/>
            <w:shd w:fill="CCEEFF" w:val="clear"/>
            <w:vAlign w:val="center"/>
          </w:tcPr>
          <w:p>
            <w:pPr>
              <w:pStyle w:val="TableContents"/>
              <w:bidi w:val="0"/>
              <w:spacing w:before="0" w:after="283"/>
              <w:jc w:val="right"/>
              <w:rPr/>
            </w:pPr>
            <w:r>
              <w:rPr/>
              <w:t>814,375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2" w:type="dxa"/>
            <w:tcBorders/>
            <w:shd w:fill="CCEEFF" w:val="clear"/>
            <w:vAlign w:val="center"/>
          </w:tcPr>
          <w:p>
            <w:pPr>
              <w:pStyle w:val="TableContents"/>
              <w:bidi w:val="0"/>
              <w:spacing w:before="0" w:after="283"/>
              <w:jc w:val="left"/>
              <w:rPr/>
            </w:pPr>
            <w:r>
              <w:rPr/>
              <w:t> </w:t>
            </w:r>
          </w:p>
        </w:tc>
        <w:tc>
          <w:tcPr>
            <w:tcW w:w="1077" w:type="dxa"/>
            <w:tcBorders/>
            <w:shd w:fill="CCEEFF" w:val="clear"/>
            <w:vAlign w:val="center"/>
          </w:tcPr>
          <w:p>
            <w:pPr>
              <w:pStyle w:val="TableContents"/>
              <w:bidi w:val="0"/>
              <w:spacing w:before="0" w:after="283"/>
              <w:jc w:val="right"/>
              <w:rPr/>
            </w:pPr>
            <w:r>
              <w:rPr/>
              <w:t>712,679</w:t>
            </w:r>
          </w:p>
        </w:tc>
        <w:tc>
          <w:tcPr>
            <w:tcW w:w="110" w:type="dxa"/>
            <w:tcBorders/>
            <w:shd w:fill="CCEEFF" w:val="clear"/>
            <w:vAlign w:val="center"/>
          </w:tcPr>
          <w:p>
            <w:pPr>
              <w:pStyle w:val="TableContents"/>
              <w:bidi w:val="0"/>
              <w:spacing w:before="0" w:after="283"/>
              <w:jc w:val="left"/>
              <w:rPr/>
            </w:pPr>
            <w:r>
              <w:rPr/>
              <w:t> </w:t>
            </w:r>
          </w:p>
        </w:tc>
      </w:tr>
      <w:tr>
        <w:trPr/>
        <w:tc>
          <w:tcPr>
            <w:tcW w:w="551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Common shares outstanding at period end</w:t>
            </w:r>
            <w:r>
              <w:rPr>
                <w:rFonts w:ascii="Times New Roman;Times;Serif" w:hAnsi="Times New Roman;Times;Serif"/>
                <w:position w:val="7"/>
                <w:sz w:val="16"/>
                <w:sz w:val="20"/>
              </w:rPr>
              <w:t>(1)</w:t>
            </w:r>
          </w:p>
        </w:tc>
        <w:tc>
          <w:tcPr>
            <w:tcW w:w="60"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103" w:type="dxa"/>
            <w:tcBorders/>
            <w:shd w:fill="FFFFFF" w:val="clear"/>
            <w:vAlign w:val="center"/>
          </w:tcPr>
          <w:p>
            <w:pPr>
              <w:pStyle w:val="TableContents"/>
              <w:bidi w:val="0"/>
              <w:spacing w:before="0" w:after="283"/>
              <w:jc w:val="right"/>
              <w:rPr/>
            </w:pPr>
            <w:r>
              <w:rPr/>
              <w:t>814,375</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2" w:type="dxa"/>
            <w:tcBorders/>
            <w:shd w:fill="FFFFFF" w:val="clear"/>
            <w:vAlign w:val="center"/>
          </w:tcPr>
          <w:p>
            <w:pPr>
              <w:pStyle w:val="TableContents"/>
              <w:bidi w:val="0"/>
              <w:spacing w:before="0" w:after="283"/>
              <w:jc w:val="left"/>
              <w:rPr/>
            </w:pPr>
            <w:r>
              <w:rPr/>
              <w:t> </w:t>
            </w:r>
          </w:p>
        </w:tc>
        <w:tc>
          <w:tcPr>
            <w:tcW w:w="1077" w:type="dxa"/>
            <w:tcBorders/>
            <w:shd w:fill="FFFFFF" w:val="clear"/>
            <w:vAlign w:val="center"/>
          </w:tcPr>
          <w:p>
            <w:pPr>
              <w:pStyle w:val="TableContents"/>
              <w:bidi w:val="0"/>
              <w:spacing w:before="0" w:after="283"/>
              <w:jc w:val="right"/>
              <w:rPr/>
            </w:pPr>
            <w:r>
              <w:rPr/>
              <w:t>714,375</w:t>
            </w:r>
          </w:p>
        </w:tc>
        <w:tc>
          <w:tcPr>
            <w:tcW w:w="110"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AS ADJUSTED FOR 1-FOR-10 REVERSE </w:t>
      </w:r>
      <w:r>
        <w:rPr>
          <w:rFonts w:ascii="Times New Roman;Times;Serif" w:hAnsi="Times New Roman;Times;Serif"/>
          <w:b/>
          <w:i/>
          <w:caps w:val="false"/>
          <w:smallCaps w:val="false"/>
          <w:sz w:val="20"/>
        </w:rPr>
        <w:t>STOCK SPLIT</w:t>
      </w:r>
      <w:r>
        <w:rPr>
          <w:rFonts w:ascii="Times New Roman;Times;Serif" w:hAnsi="Times New Roman;Times;Serif"/>
          <w:b/>
          <w:i w:val="false"/>
          <w:caps w:val="false"/>
          <w:smallCaps w:val="false"/>
          <w:sz w:val="20"/>
        </w:rPr>
        <w:t xml:space="preserve"> (unaudited)</w:t>
      </w:r>
    </w:p>
    <w:p>
      <w:pPr>
        <w:pStyle w:val="TextBody"/>
        <w:bidi w:val="0"/>
        <w:spacing w:before="0" w:after="0"/>
        <w:ind w:left="0" w:right="0" w:hanging="0"/>
        <w:jc w:val="both"/>
        <w:rPr>
          <w:caps w:val="false"/>
          <w:smallCaps w:val="false"/>
        </w:rPr>
      </w:pPr>
      <w:r>
        <w:rPr>
          <w:caps w:val="false"/>
          <w:smallCaps w:val="false"/>
        </w:rPr>
        <w:t> </w:t>
      </w:r>
    </w:p>
    <w:tbl>
      <w:tblPr>
        <w:tblW w:w="8333" w:type="dxa"/>
        <w:jc w:val="left"/>
        <w:tblInd w:w="0" w:type="dxa"/>
        <w:tblLayout w:type="fixed"/>
        <w:tblCellMar>
          <w:top w:w="0" w:type="dxa"/>
          <w:left w:w="0" w:type="dxa"/>
          <w:bottom w:w="0" w:type="dxa"/>
          <w:right w:w="0" w:type="dxa"/>
        </w:tblCellMar>
      </w:tblPr>
      <w:tblGrid>
        <w:gridCol w:w="5510"/>
        <w:gridCol w:w="60"/>
        <w:gridCol w:w="146"/>
        <w:gridCol w:w="1103"/>
        <w:gridCol w:w="95"/>
        <w:gridCol w:w="60"/>
        <w:gridCol w:w="146"/>
        <w:gridCol w:w="1103"/>
        <w:gridCol w:w="110"/>
      </w:tblGrid>
      <w:tr>
        <w:trPr/>
        <w:tc>
          <w:tcPr>
            <w:tcW w:w="5510" w:type="dxa"/>
            <w:tcBorders/>
            <w:vAlign w:val="center"/>
          </w:tcPr>
          <w:p>
            <w:pPr>
              <w:pStyle w:val="TableContents"/>
              <w:bidi w:val="0"/>
              <w:spacing w:before="0" w:after="283"/>
              <w:ind w:left="0" w:right="0" w:hanging="180"/>
              <w:jc w:val="left"/>
              <w:rPr/>
            </w:pPr>
            <w:r>
              <w:rPr/>
              <w:t> </w:t>
            </w:r>
          </w:p>
        </w:tc>
        <w:tc>
          <w:tcPr>
            <w:tcW w:w="60" w:type="dxa"/>
            <w:tcBorders/>
            <w:vAlign w:val="center"/>
          </w:tcPr>
          <w:p>
            <w:pPr>
              <w:pStyle w:val="TableContents"/>
              <w:bidi w:val="0"/>
              <w:spacing w:before="0" w:after="283"/>
              <w:jc w:val="left"/>
              <w:rPr/>
            </w:pPr>
            <w:r>
              <w:rPr/>
              <w:t> </w:t>
            </w:r>
          </w:p>
        </w:tc>
        <w:tc>
          <w:tcPr>
            <w:tcW w:w="2653" w:type="dxa"/>
            <w:gridSpan w:val="6"/>
            <w:tcBorders/>
            <w:vAlign w:val="center"/>
          </w:tcPr>
          <w:p>
            <w:pPr>
              <w:pStyle w:val="TableContents"/>
              <w:bidi w:val="0"/>
              <w:spacing w:before="0" w:after="283"/>
              <w:jc w:val="center"/>
              <w:rPr>
                <w:b/>
              </w:rPr>
            </w:pPr>
            <w:r>
              <w:rPr>
                <w:b/>
              </w:rPr>
              <w:t>Year Ended</w:t>
            </w:r>
          </w:p>
        </w:tc>
        <w:tc>
          <w:tcPr>
            <w:tcW w:w="110" w:type="dxa"/>
            <w:tcBorders/>
            <w:vAlign w:val="center"/>
          </w:tcPr>
          <w:p>
            <w:pPr>
              <w:pStyle w:val="TableContents"/>
              <w:bidi w:val="0"/>
              <w:spacing w:before="0" w:after="283"/>
              <w:ind w:left="0" w:right="0" w:hanging="180"/>
              <w:jc w:val="left"/>
              <w:rPr/>
            </w:pPr>
            <w:r>
              <w:rPr/>
              <w:t> </w:t>
            </w:r>
          </w:p>
        </w:tc>
      </w:tr>
      <w:tr>
        <w:trPr/>
        <w:tc>
          <w:tcPr>
            <w:tcW w:w="551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53"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December 31.</w:t>
            </w:r>
          </w:p>
        </w:tc>
        <w:tc>
          <w:tcPr>
            <w:tcW w:w="110" w:type="dxa"/>
            <w:tcBorders/>
            <w:vAlign w:val="center"/>
          </w:tcPr>
          <w:p>
            <w:pPr>
              <w:pStyle w:val="TableContents"/>
              <w:bidi w:val="0"/>
              <w:spacing w:before="0" w:after="283"/>
              <w:ind w:left="0" w:right="0" w:hanging="180"/>
              <w:jc w:val="left"/>
              <w:rPr/>
            </w:pPr>
            <w:r>
              <w:rPr/>
              <w:t> </w:t>
            </w:r>
          </w:p>
        </w:tc>
      </w:tr>
      <w:tr>
        <w:trPr/>
        <w:tc>
          <w:tcPr>
            <w:tcW w:w="551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49"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2025</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49"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2024</w:t>
            </w:r>
          </w:p>
        </w:tc>
        <w:tc>
          <w:tcPr>
            <w:tcW w:w="110" w:type="dxa"/>
            <w:tcBorders/>
            <w:vAlign w:val="center"/>
          </w:tcPr>
          <w:p>
            <w:pPr>
              <w:pStyle w:val="TableContents"/>
              <w:bidi w:val="0"/>
              <w:spacing w:before="0" w:after="283"/>
              <w:ind w:left="0" w:right="0" w:hanging="180"/>
              <w:jc w:val="left"/>
              <w:rPr/>
            </w:pPr>
            <w:r>
              <w:rPr/>
              <w:t> </w:t>
            </w:r>
          </w:p>
        </w:tc>
      </w:tr>
      <w:tr>
        <w:trPr/>
        <w:tc>
          <w:tcPr>
            <w:tcW w:w="551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49"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(Unaudited)</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49"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(Unaudited)</w:t>
            </w:r>
          </w:p>
        </w:tc>
        <w:tc>
          <w:tcPr>
            <w:tcW w:w="110" w:type="dxa"/>
            <w:tcBorders/>
            <w:vAlign w:val="center"/>
          </w:tcPr>
          <w:p>
            <w:pPr>
              <w:pStyle w:val="TableContents"/>
              <w:bidi w:val="0"/>
              <w:spacing w:before="0" w:after="283"/>
              <w:ind w:left="0" w:right="0" w:hanging="180"/>
              <w:jc w:val="left"/>
              <w:rPr/>
            </w:pPr>
            <w:r>
              <w:rPr/>
              <w:t> </w:t>
            </w:r>
          </w:p>
        </w:tc>
      </w:tr>
      <w:tr>
        <w:trPr/>
        <w:tc>
          <w:tcPr>
            <w:tcW w:w="5510" w:type="dxa"/>
            <w:tcBorders/>
            <w:shd w:fill="CCEEFF" w:val="clear"/>
            <w:vAlign w:val="center"/>
          </w:tcPr>
          <w:p>
            <w:pPr>
              <w:pStyle w:val="TableContents"/>
              <w:bidi w:val="0"/>
              <w:spacing w:before="0" w:after="283"/>
              <w:jc w:val="left"/>
              <w:rPr/>
            </w:pPr>
            <w:r>
              <w:rPr/>
              <w:t>Net loss available to common shareholders</w:t>
            </w:r>
          </w:p>
        </w:tc>
        <w:tc>
          <w:tcPr>
            <w:tcW w:w="60"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w:t>
            </w:r>
          </w:p>
        </w:tc>
        <w:tc>
          <w:tcPr>
            <w:tcW w:w="1103" w:type="dxa"/>
            <w:tcBorders/>
            <w:shd w:fill="CCEEFF" w:val="clear"/>
            <w:vAlign w:val="center"/>
          </w:tcPr>
          <w:p>
            <w:pPr>
              <w:pStyle w:val="TableContents"/>
              <w:bidi w:val="0"/>
              <w:spacing w:before="0" w:after="283"/>
              <w:jc w:val="right"/>
              <w:rPr/>
            </w:pPr>
            <w:r>
              <w:rPr/>
              <w:t>(1,363,270</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w:t>
            </w:r>
          </w:p>
        </w:tc>
        <w:tc>
          <w:tcPr>
            <w:tcW w:w="1103" w:type="dxa"/>
            <w:tcBorders/>
            <w:shd w:fill="CCEEFF" w:val="clear"/>
            <w:vAlign w:val="center"/>
          </w:tcPr>
          <w:p>
            <w:pPr>
              <w:pStyle w:val="TableContents"/>
              <w:bidi w:val="0"/>
              <w:spacing w:before="0" w:after="283"/>
              <w:jc w:val="right"/>
              <w:rPr/>
            </w:pPr>
            <w:r>
              <w:rPr/>
              <w:t>(4,267,806</w:t>
            </w:r>
          </w:p>
        </w:tc>
        <w:tc>
          <w:tcPr>
            <w:tcW w:w="110" w:type="dxa"/>
            <w:tcBorders/>
            <w:shd w:fill="CCEEFF" w:val="clear"/>
            <w:vAlign w:val="center"/>
          </w:tcPr>
          <w:p>
            <w:pPr>
              <w:pStyle w:val="TableContents"/>
              <w:bidi w:val="0"/>
              <w:spacing w:before="0" w:after="283"/>
              <w:ind w:left="0" w:right="0" w:hanging="180"/>
              <w:jc w:val="left"/>
              <w:rPr/>
            </w:pPr>
            <w:r>
              <w:rPr/>
              <w:t>)</w:t>
            </w:r>
          </w:p>
        </w:tc>
      </w:tr>
      <w:tr>
        <w:trPr/>
        <w:tc>
          <w:tcPr>
            <w:tcW w:w="5510" w:type="dxa"/>
            <w:tcBorders/>
            <w:shd w:fill="FFFFFF" w:val="clear"/>
            <w:vAlign w:val="center"/>
          </w:tcPr>
          <w:p>
            <w:pPr>
              <w:pStyle w:val="TableContents"/>
              <w:bidi w:val="0"/>
              <w:spacing w:before="0" w:after="283"/>
              <w:jc w:val="left"/>
              <w:rPr/>
            </w:pPr>
            <w:r>
              <w:rPr/>
              <w:t>Net loss per common share, basic and diluted</w:t>
            </w:r>
          </w:p>
        </w:tc>
        <w:tc>
          <w:tcPr>
            <w:tcW w:w="60"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w:t>
            </w:r>
          </w:p>
        </w:tc>
        <w:tc>
          <w:tcPr>
            <w:tcW w:w="1103" w:type="dxa"/>
            <w:tcBorders/>
            <w:shd w:fill="FFFFFF" w:val="clear"/>
            <w:vAlign w:val="center"/>
          </w:tcPr>
          <w:p>
            <w:pPr>
              <w:pStyle w:val="TableContents"/>
              <w:bidi w:val="0"/>
              <w:spacing w:before="0" w:after="283"/>
              <w:jc w:val="right"/>
              <w:rPr/>
            </w:pPr>
            <w:r>
              <w:rPr/>
              <w:t>(1.9</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w:t>
            </w:r>
          </w:p>
        </w:tc>
        <w:tc>
          <w:tcPr>
            <w:tcW w:w="1103" w:type="dxa"/>
            <w:tcBorders/>
            <w:shd w:fill="FFFFFF" w:val="clear"/>
            <w:vAlign w:val="center"/>
          </w:tcPr>
          <w:p>
            <w:pPr>
              <w:pStyle w:val="TableContents"/>
              <w:bidi w:val="0"/>
              <w:spacing w:before="0" w:after="283"/>
              <w:jc w:val="right"/>
              <w:rPr/>
            </w:pPr>
            <w:r>
              <w:rPr/>
              <w:t>(7.8</w:t>
            </w:r>
          </w:p>
        </w:tc>
        <w:tc>
          <w:tcPr>
            <w:tcW w:w="110" w:type="dxa"/>
            <w:tcBorders/>
            <w:shd w:fill="FFFFFF" w:val="clear"/>
            <w:vAlign w:val="center"/>
          </w:tcPr>
          <w:p>
            <w:pPr>
              <w:pStyle w:val="TableContents"/>
              <w:bidi w:val="0"/>
              <w:spacing w:before="0" w:after="283"/>
              <w:ind w:left="0" w:right="0" w:hanging="180"/>
              <w:jc w:val="left"/>
              <w:rPr/>
            </w:pPr>
            <w:r>
              <w:rPr/>
              <w:t>)</w:t>
            </w:r>
          </w:p>
        </w:tc>
      </w:tr>
      <w:tr>
        <w:trPr/>
        <w:tc>
          <w:tcPr>
            <w:tcW w:w="551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Weighted average common shares outstanding, basic and diluted</w:t>
            </w:r>
            <w:r>
              <w:rPr>
                <w:rFonts w:ascii="Times New Roman;Times;Serif" w:hAnsi="Times New Roman;Times;Serif"/>
                <w:position w:val="7"/>
                <w:sz w:val="16"/>
                <w:sz w:val="20"/>
              </w:rPr>
              <w:t>(1)</w:t>
            </w:r>
          </w:p>
        </w:tc>
        <w:tc>
          <w:tcPr>
            <w:tcW w:w="60"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1103" w:type="dxa"/>
            <w:tcBorders/>
            <w:shd w:fill="CCEEFF" w:val="clear"/>
            <w:vAlign w:val="center"/>
          </w:tcPr>
          <w:p>
            <w:pPr>
              <w:pStyle w:val="TableContents"/>
              <w:bidi w:val="0"/>
              <w:spacing w:before="0" w:after="283"/>
              <w:jc w:val="right"/>
              <w:rPr/>
            </w:pPr>
            <w:r>
              <w:rPr/>
              <w:t>735,178</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1103" w:type="dxa"/>
            <w:tcBorders/>
            <w:shd w:fill="CCEEFF" w:val="clear"/>
            <w:vAlign w:val="center"/>
          </w:tcPr>
          <w:p>
            <w:pPr>
              <w:pStyle w:val="TableContents"/>
              <w:bidi w:val="0"/>
              <w:spacing w:before="0" w:after="283"/>
              <w:jc w:val="right"/>
              <w:rPr/>
            </w:pPr>
            <w:r>
              <w:rPr/>
              <w:t>545,310</w:t>
            </w:r>
          </w:p>
        </w:tc>
        <w:tc>
          <w:tcPr>
            <w:tcW w:w="110" w:type="dxa"/>
            <w:tcBorders/>
            <w:shd w:fill="CCEEFF" w:val="clear"/>
            <w:vAlign w:val="center"/>
          </w:tcPr>
          <w:p>
            <w:pPr>
              <w:pStyle w:val="TableContents"/>
              <w:bidi w:val="0"/>
              <w:spacing w:before="0" w:after="283"/>
              <w:ind w:left="0" w:right="0" w:hanging="180"/>
              <w:jc w:val="left"/>
              <w:rPr/>
            </w:pPr>
            <w:r>
              <w:rPr/>
              <w:t> </w:t>
            </w:r>
          </w:p>
        </w:tc>
      </w:tr>
      <w:tr>
        <w:trPr/>
        <w:tc>
          <w:tcPr>
            <w:tcW w:w="551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Common shares outstanding at year end</w:t>
            </w:r>
            <w:r>
              <w:rPr>
                <w:rFonts w:ascii="Times New Roman;Times;Serif" w:hAnsi="Times New Roman;Times;Serif"/>
                <w:position w:val="7"/>
                <w:sz w:val="16"/>
                <w:sz w:val="20"/>
              </w:rPr>
              <w:t>(1)</w:t>
            </w:r>
          </w:p>
        </w:tc>
        <w:tc>
          <w:tcPr>
            <w:tcW w:w="60"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103" w:type="dxa"/>
            <w:tcBorders/>
            <w:shd w:fill="FFFFFF" w:val="clear"/>
            <w:vAlign w:val="center"/>
          </w:tcPr>
          <w:p>
            <w:pPr>
              <w:pStyle w:val="TableContents"/>
              <w:bidi w:val="0"/>
              <w:spacing w:before="0" w:after="283"/>
              <w:jc w:val="right"/>
              <w:rPr/>
            </w:pPr>
            <w:r>
              <w:rPr/>
              <w:t>814,375</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103" w:type="dxa"/>
            <w:tcBorders/>
            <w:shd w:fill="FFFFFF" w:val="clear"/>
            <w:vAlign w:val="center"/>
          </w:tcPr>
          <w:p>
            <w:pPr>
              <w:pStyle w:val="TableContents"/>
              <w:bidi w:val="0"/>
              <w:spacing w:before="0" w:after="283"/>
              <w:jc w:val="right"/>
              <w:rPr/>
            </w:pPr>
            <w:r>
              <w:rPr/>
              <w:t>560,875</w:t>
            </w:r>
          </w:p>
        </w:tc>
        <w:tc>
          <w:tcPr>
            <w:tcW w:w="110"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tbl>
      <w:tblPr>
        <w:tblW w:w="8333" w:type="dxa"/>
        <w:jc w:val="left"/>
        <w:tblInd w:w="0" w:type="dxa"/>
        <w:tblLayout w:type="fixed"/>
        <w:tblCellMar>
          <w:top w:w="0" w:type="dxa"/>
          <w:left w:w="0" w:type="dxa"/>
          <w:bottom w:w="0" w:type="dxa"/>
          <w:right w:w="0" w:type="dxa"/>
        </w:tblCellMar>
      </w:tblPr>
      <w:tblGrid>
        <w:gridCol w:w="5510"/>
        <w:gridCol w:w="60"/>
        <w:gridCol w:w="146"/>
        <w:gridCol w:w="1103"/>
        <w:gridCol w:w="95"/>
        <w:gridCol w:w="60"/>
        <w:gridCol w:w="172"/>
        <w:gridCol w:w="1077"/>
        <w:gridCol w:w="110"/>
      </w:tblGrid>
      <w:tr>
        <w:trPr/>
        <w:tc>
          <w:tcPr>
            <w:tcW w:w="5510" w:type="dxa"/>
            <w:tcBorders/>
            <w:vAlign w:val="center"/>
          </w:tcPr>
          <w:p>
            <w:pPr>
              <w:pStyle w:val="TableContents"/>
              <w:bidi w:val="0"/>
              <w:spacing w:before="0" w:after="283"/>
              <w:ind w:left="0" w:right="0" w:hanging="180"/>
              <w:jc w:val="left"/>
              <w:rPr/>
            </w:pPr>
            <w:r>
              <w:rPr/>
              <w:t> </w:t>
            </w:r>
          </w:p>
        </w:tc>
        <w:tc>
          <w:tcPr>
            <w:tcW w:w="60" w:type="dxa"/>
            <w:tcBorders/>
            <w:vAlign w:val="center"/>
          </w:tcPr>
          <w:p>
            <w:pPr>
              <w:pStyle w:val="TableContents"/>
              <w:bidi w:val="0"/>
              <w:spacing w:before="0" w:after="283"/>
              <w:jc w:val="left"/>
              <w:rPr/>
            </w:pPr>
            <w:r>
              <w:rPr/>
              <w:t> </w:t>
            </w:r>
          </w:p>
        </w:tc>
        <w:tc>
          <w:tcPr>
            <w:tcW w:w="2653" w:type="dxa"/>
            <w:gridSpan w:val="6"/>
            <w:tcBorders/>
            <w:vAlign w:val="center"/>
          </w:tcPr>
          <w:p>
            <w:pPr>
              <w:pStyle w:val="TableContents"/>
              <w:bidi w:val="0"/>
              <w:spacing w:before="0" w:after="283"/>
              <w:jc w:val="center"/>
              <w:rPr>
                <w:b/>
              </w:rPr>
            </w:pPr>
            <w:r>
              <w:rPr>
                <w:b/>
              </w:rPr>
              <w:t>Six Months Ended</w:t>
            </w:r>
          </w:p>
        </w:tc>
        <w:tc>
          <w:tcPr>
            <w:tcW w:w="110" w:type="dxa"/>
            <w:tcBorders/>
            <w:vAlign w:val="center"/>
          </w:tcPr>
          <w:p>
            <w:pPr>
              <w:pStyle w:val="TableContents"/>
              <w:bidi w:val="0"/>
              <w:spacing w:before="0" w:after="283"/>
              <w:ind w:left="0" w:right="0" w:hanging="180"/>
              <w:jc w:val="left"/>
              <w:rPr/>
            </w:pPr>
            <w:r>
              <w:rPr/>
              <w:t> </w:t>
            </w:r>
          </w:p>
        </w:tc>
      </w:tr>
      <w:tr>
        <w:trPr/>
        <w:tc>
          <w:tcPr>
            <w:tcW w:w="551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53"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June 30,</w:t>
            </w:r>
          </w:p>
        </w:tc>
        <w:tc>
          <w:tcPr>
            <w:tcW w:w="110" w:type="dxa"/>
            <w:tcBorders/>
            <w:vAlign w:val="center"/>
          </w:tcPr>
          <w:p>
            <w:pPr>
              <w:pStyle w:val="TableContents"/>
              <w:bidi w:val="0"/>
              <w:spacing w:before="0" w:after="283"/>
              <w:ind w:left="0" w:right="0" w:hanging="180"/>
              <w:jc w:val="left"/>
              <w:rPr/>
            </w:pPr>
            <w:r>
              <w:rPr/>
              <w:t> </w:t>
            </w:r>
          </w:p>
        </w:tc>
      </w:tr>
      <w:tr>
        <w:trPr/>
        <w:tc>
          <w:tcPr>
            <w:tcW w:w="551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49"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2026</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49"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2025</w:t>
            </w:r>
          </w:p>
        </w:tc>
        <w:tc>
          <w:tcPr>
            <w:tcW w:w="110" w:type="dxa"/>
            <w:tcBorders/>
            <w:vAlign w:val="center"/>
          </w:tcPr>
          <w:p>
            <w:pPr>
              <w:pStyle w:val="TableContents"/>
              <w:bidi w:val="0"/>
              <w:spacing w:before="0" w:after="283"/>
              <w:ind w:left="0" w:right="0" w:hanging="180"/>
              <w:jc w:val="left"/>
              <w:rPr/>
            </w:pPr>
            <w:r>
              <w:rPr/>
              <w:t> </w:t>
            </w:r>
          </w:p>
        </w:tc>
      </w:tr>
      <w:tr>
        <w:trPr/>
        <w:tc>
          <w:tcPr>
            <w:tcW w:w="551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49"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(Unaudited)</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49"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(Unaudited)</w:t>
            </w:r>
          </w:p>
        </w:tc>
        <w:tc>
          <w:tcPr>
            <w:tcW w:w="110" w:type="dxa"/>
            <w:tcBorders/>
            <w:vAlign w:val="center"/>
          </w:tcPr>
          <w:p>
            <w:pPr>
              <w:pStyle w:val="TableContents"/>
              <w:bidi w:val="0"/>
              <w:spacing w:before="0" w:after="283"/>
              <w:ind w:left="0" w:right="0" w:hanging="180"/>
              <w:jc w:val="left"/>
              <w:rPr/>
            </w:pPr>
            <w:r>
              <w:rPr/>
              <w:t> </w:t>
            </w:r>
          </w:p>
        </w:tc>
      </w:tr>
      <w:tr>
        <w:trPr/>
        <w:tc>
          <w:tcPr>
            <w:tcW w:w="5510" w:type="dxa"/>
            <w:tcBorders/>
            <w:shd w:fill="CCEEFF" w:val="clear"/>
            <w:vAlign w:val="center"/>
          </w:tcPr>
          <w:p>
            <w:pPr>
              <w:pStyle w:val="TableContents"/>
              <w:bidi w:val="0"/>
              <w:spacing w:before="0" w:after="283"/>
              <w:jc w:val="left"/>
              <w:rPr/>
            </w:pPr>
            <w:r>
              <w:rPr/>
              <w:t>Net loss available to common shareholders</w:t>
            </w:r>
          </w:p>
        </w:tc>
        <w:tc>
          <w:tcPr>
            <w:tcW w:w="60"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w:t>
            </w:r>
          </w:p>
        </w:tc>
        <w:tc>
          <w:tcPr>
            <w:tcW w:w="1103" w:type="dxa"/>
            <w:tcBorders/>
            <w:shd w:fill="CCEEFF" w:val="clear"/>
            <w:vAlign w:val="center"/>
          </w:tcPr>
          <w:p>
            <w:pPr>
              <w:pStyle w:val="TableContents"/>
              <w:bidi w:val="0"/>
              <w:spacing w:before="0" w:after="283"/>
              <w:jc w:val="right"/>
              <w:rPr/>
            </w:pPr>
            <w:r>
              <w:rPr/>
              <w:t>(1,326,004</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72" w:type="dxa"/>
            <w:tcBorders/>
            <w:shd w:fill="CCEEFF" w:val="clear"/>
            <w:vAlign w:val="center"/>
          </w:tcPr>
          <w:p>
            <w:pPr>
              <w:pStyle w:val="TableContents"/>
              <w:bidi w:val="0"/>
              <w:spacing w:before="0" w:after="283"/>
              <w:jc w:val="left"/>
              <w:rPr/>
            </w:pPr>
            <w:r>
              <w:rPr/>
              <w:t>$</w:t>
            </w:r>
          </w:p>
        </w:tc>
        <w:tc>
          <w:tcPr>
            <w:tcW w:w="1077" w:type="dxa"/>
            <w:tcBorders/>
            <w:shd w:fill="CCEEFF" w:val="clear"/>
            <w:vAlign w:val="center"/>
          </w:tcPr>
          <w:p>
            <w:pPr>
              <w:pStyle w:val="TableContents"/>
              <w:bidi w:val="0"/>
              <w:spacing w:before="0" w:after="283"/>
              <w:jc w:val="right"/>
              <w:rPr/>
            </w:pPr>
            <w:r>
              <w:rPr/>
              <w:t>(441,780</w:t>
            </w:r>
          </w:p>
        </w:tc>
        <w:tc>
          <w:tcPr>
            <w:tcW w:w="110" w:type="dxa"/>
            <w:tcBorders/>
            <w:shd w:fill="CCEEFF" w:val="clear"/>
            <w:vAlign w:val="center"/>
          </w:tcPr>
          <w:p>
            <w:pPr>
              <w:pStyle w:val="TableContents"/>
              <w:bidi w:val="0"/>
              <w:spacing w:before="0" w:after="283"/>
              <w:ind w:left="0" w:right="0" w:hanging="180"/>
              <w:jc w:val="left"/>
              <w:rPr/>
            </w:pPr>
            <w:r>
              <w:rPr/>
              <w:t>)</w:t>
            </w:r>
          </w:p>
        </w:tc>
      </w:tr>
      <w:tr>
        <w:trPr/>
        <w:tc>
          <w:tcPr>
            <w:tcW w:w="5510" w:type="dxa"/>
            <w:tcBorders/>
            <w:shd w:fill="FFFFFF" w:val="clear"/>
            <w:vAlign w:val="center"/>
          </w:tcPr>
          <w:p>
            <w:pPr>
              <w:pStyle w:val="TableContents"/>
              <w:bidi w:val="0"/>
              <w:spacing w:before="0" w:after="283"/>
              <w:jc w:val="left"/>
              <w:rPr/>
            </w:pPr>
            <w:r>
              <w:rPr/>
              <w:t>Net loss per common share, basic and diluted</w:t>
            </w:r>
          </w:p>
        </w:tc>
        <w:tc>
          <w:tcPr>
            <w:tcW w:w="60"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w:t>
            </w:r>
          </w:p>
        </w:tc>
        <w:tc>
          <w:tcPr>
            <w:tcW w:w="1103" w:type="dxa"/>
            <w:tcBorders/>
            <w:shd w:fill="FFFFFF" w:val="clear"/>
            <w:vAlign w:val="center"/>
          </w:tcPr>
          <w:p>
            <w:pPr>
              <w:pStyle w:val="TableContents"/>
              <w:bidi w:val="0"/>
              <w:spacing w:before="0" w:after="283"/>
              <w:jc w:val="right"/>
              <w:rPr/>
            </w:pPr>
            <w:r>
              <w:rPr/>
              <w:t>(1.6</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72" w:type="dxa"/>
            <w:tcBorders/>
            <w:shd w:fill="FFFFFF" w:val="clear"/>
            <w:vAlign w:val="center"/>
          </w:tcPr>
          <w:p>
            <w:pPr>
              <w:pStyle w:val="TableContents"/>
              <w:bidi w:val="0"/>
              <w:spacing w:before="0" w:after="283"/>
              <w:jc w:val="left"/>
              <w:rPr/>
            </w:pPr>
            <w:r>
              <w:rPr/>
              <w:t>$</w:t>
            </w:r>
          </w:p>
        </w:tc>
        <w:tc>
          <w:tcPr>
            <w:tcW w:w="1077" w:type="dxa"/>
            <w:tcBorders/>
            <w:shd w:fill="FFFFFF" w:val="clear"/>
            <w:vAlign w:val="center"/>
          </w:tcPr>
          <w:p>
            <w:pPr>
              <w:pStyle w:val="TableContents"/>
              <w:bidi w:val="0"/>
              <w:spacing w:before="0" w:after="283"/>
              <w:jc w:val="right"/>
              <w:rPr/>
            </w:pPr>
            <w:r>
              <w:rPr/>
              <w:t>(0.6</w:t>
            </w:r>
          </w:p>
        </w:tc>
        <w:tc>
          <w:tcPr>
            <w:tcW w:w="110" w:type="dxa"/>
            <w:tcBorders/>
            <w:shd w:fill="FFFFFF" w:val="clear"/>
            <w:vAlign w:val="center"/>
          </w:tcPr>
          <w:p>
            <w:pPr>
              <w:pStyle w:val="TableContents"/>
              <w:bidi w:val="0"/>
              <w:spacing w:before="0" w:after="283"/>
              <w:ind w:left="0" w:right="0" w:hanging="180"/>
              <w:jc w:val="left"/>
              <w:rPr/>
            </w:pPr>
            <w:r>
              <w:rPr/>
              <w:t>)</w:t>
            </w:r>
          </w:p>
        </w:tc>
      </w:tr>
      <w:tr>
        <w:trPr/>
        <w:tc>
          <w:tcPr>
            <w:tcW w:w="551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Weighted average common shares outstanding, basic and diluted</w:t>
            </w:r>
            <w:r>
              <w:rPr>
                <w:rFonts w:ascii="Times New Roman;Times;Serif" w:hAnsi="Times New Roman;Times;Serif"/>
                <w:position w:val="7"/>
                <w:sz w:val="16"/>
                <w:sz w:val="20"/>
              </w:rPr>
              <w:t>(1)</w:t>
            </w:r>
          </w:p>
        </w:tc>
        <w:tc>
          <w:tcPr>
            <w:tcW w:w="60"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1103" w:type="dxa"/>
            <w:tcBorders/>
            <w:shd w:fill="CCEEFF" w:val="clear"/>
            <w:vAlign w:val="center"/>
          </w:tcPr>
          <w:p>
            <w:pPr>
              <w:pStyle w:val="TableContents"/>
              <w:bidi w:val="0"/>
              <w:spacing w:before="0" w:after="283"/>
              <w:jc w:val="right"/>
              <w:rPr/>
            </w:pPr>
            <w:r>
              <w:rPr/>
              <w:t>814,375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2" w:type="dxa"/>
            <w:tcBorders/>
            <w:shd w:fill="CCEEFF" w:val="clear"/>
            <w:vAlign w:val="center"/>
          </w:tcPr>
          <w:p>
            <w:pPr>
              <w:pStyle w:val="TableContents"/>
              <w:bidi w:val="0"/>
              <w:spacing w:before="0" w:after="283"/>
              <w:jc w:val="left"/>
              <w:rPr/>
            </w:pPr>
            <w:r>
              <w:rPr/>
              <w:t> </w:t>
            </w:r>
          </w:p>
        </w:tc>
        <w:tc>
          <w:tcPr>
            <w:tcW w:w="1077" w:type="dxa"/>
            <w:tcBorders/>
            <w:shd w:fill="CCEEFF" w:val="clear"/>
            <w:vAlign w:val="center"/>
          </w:tcPr>
          <w:p>
            <w:pPr>
              <w:pStyle w:val="TableContents"/>
              <w:bidi w:val="0"/>
              <w:spacing w:before="0" w:after="283"/>
              <w:jc w:val="right"/>
              <w:rPr/>
            </w:pPr>
            <w:r>
              <w:rPr/>
              <w:t>712,679</w:t>
            </w:r>
          </w:p>
        </w:tc>
        <w:tc>
          <w:tcPr>
            <w:tcW w:w="110" w:type="dxa"/>
            <w:tcBorders/>
            <w:shd w:fill="CCEEFF" w:val="clear"/>
            <w:vAlign w:val="center"/>
          </w:tcPr>
          <w:p>
            <w:pPr>
              <w:pStyle w:val="TableContents"/>
              <w:bidi w:val="0"/>
              <w:spacing w:before="0" w:after="283"/>
              <w:ind w:left="0" w:right="0" w:hanging="180"/>
              <w:jc w:val="left"/>
              <w:rPr/>
            </w:pPr>
            <w:r>
              <w:rPr/>
              <w:t> </w:t>
            </w:r>
          </w:p>
        </w:tc>
      </w:tr>
      <w:tr>
        <w:trPr/>
        <w:tc>
          <w:tcPr>
            <w:tcW w:w="551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Common shares outstanding at period end</w:t>
            </w:r>
            <w:r>
              <w:rPr>
                <w:rFonts w:ascii="Times New Roman;Times;Serif" w:hAnsi="Times New Roman;Times;Serif"/>
                <w:position w:val="7"/>
                <w:sz w:val="16"/>
                <w:sz w:val="20"/>
              </w:rPr>
              <w:t>(1)</w:t>
            </w:r>
          </w:p>
        </w:tc>
        <w:tc>
          <w:tcPr>
            <w:tcW w:w="60"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103" w:type="dxa"/>
            <w:tcBorders/>
            <w:shd w:fill="FFFFFF" w:val="clear"/>
            <w:vAlign w:val="center"/>
          </w:tcPr>
          <w:p>
            <w:pPr>
              <w:pStyle w:val="TableContents"/>
              <w:bidi w:val="0"/>
              <w:spacing w:before="0" w:after="283"/>
              <w:jc w:val="right"/>
              <w:rPr/>
            </w:pPr>
            <w:r>
              <w:rPr/>
              <w:t>814,375</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2" w:type="dxa"/>
            <w:tcBorders/>
            <w:shd w:fill="FFFFFF" w:val="clear"/>
            <w:vAlign w:val="center"/>
          </w:tcPr>
          <w:p>
            <w:pPr>
              <w:pStyle w:val="TableContents"/>
              <w:bidi w:val="0"/>
              <w:spacing w:before="0" w:after="283"/>
              <w:jc w:val="left"/>
              <w:rPr/>
            </w:pPr>
            <w:r>
              <w:rPr/>
              <w:t> </w:t>
            </w:r>
          </w:p>
        </w:tc>
        <w:tc>
          <w:tcPr>
            <w:tcW w:w="1077" w:type="dxa"/>
            <w:tcBorders/>
            <w:shd w:fill="FFFFFF" w:val="clear"/>
            <w:vAlign w:val="center"/>
          </w:tcPr>
          <w:p>
            <w:pPr>
              <w:pStyle w:val="TableContents"/>
              <w:bidi w:val="0"/>
              <w:spacing w:before="0" w:after="283"/>
              <w:jc w:val="right"/>
              <w:rPr/>
            </w:pPr>
            <w:r>
              <w:rPr/>
              <w:t>714,375</w:t>
            </w:r>
          </w:p>
        </w:tc>
        <w:tc>
          <w:tcPr>
            <w:tcW w:w="110"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70"/>
        <w:gridCol w:w="9935"/>
      </w:tblGrid>
      <w:tr>
        <w:trPr/>
        <w:tc>
          <w:tcPr>
            <w:tcW w:w="270" w:type="dxa"/>
            <w:tcBorders/>
            <w:vAlign w:val="center"/>
          </w:tcPr>
          <w:p>
            <w:pPr>
              <w:pStyle w:val="TableContents"/>
              <w:bidi w:val="0"/>
              <w:spacing w:before="0" w:after="283"/>
              <w:jc w:val="left"/>
              <w:rPr/>
            </w:pPr>
            <w:r>
              <w:rPr/>
              <w:t>(1)</w:t>
            </w:r>
          </w:p>
        </w:tc>
        <w:tc>
          <w:tcPr>
            <w:tcW w:w="9935" w:type="dxa"/>
            <w:tcBorders/>
            <w:vAlign w:val="center"/>
          </w:tcPr>
          <w:p>
            <w:pPr>
              <w:pStyle w:val="TableContents"/>
              <w:bidi w:val="0"/>
              <w:spacing w:before="0" w:after="283"/>
              <w:jc w:val="both"/>
              <w:rPr/>
            </w:pPr>
            <w:r>
              <w:rPr/>
              <w:t>All per share amounts and shares outstanding for all periods have been retroactively restated to reflect the company’s 1 for 10 reverse stock split, which was effective on July 20, 2026.</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2 </w:t>
      </w:r>
    </w:p>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6" w:name="a_005"/>
      <w:bookmarkEnd w:id="6"/>
      <w:r>
        <w:rPr>
          <w:rFonts w:ascii="Times New Roman;Times;Serif" w:hAnsi="Times New Roman;Times;Serif"/>
          <w:b/>
          <w:i w:val="false"/>
          <w:caps w:val="false"/>
          <w:smallCaps w:val="false"/>
          <w:sz w:val="20"/>
        </w:rPr>
        <w:t>USE OF PROCEEDS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Unless otherwise indicated in a prospectus supplement, we intend to use the net proceeds from the sale of the securities under this prospectus for general corporate purposes, including for general working capital purposes, which may include the repayment of outstanding debt.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7" w:name="a_006"/>
      <w:bookmarkEnd w:id="7"/>
      <w:r>
        <w:rPr>
          <w:rFonts w:ascii="Times New Roman;Times;Serif" w:hAnsi="Times New Roman;Times;Serif"/>
          <w:b/>
          <w:i w:val="false"/>
          <w:caps w:val="false"/>
          <w:smallCaps w:val="false"/>
          <w:sz w:val="20"/>
        </w:rPr>
        <w:t>DILUTION</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required, we will set forth in a prospectus supplement the following information regarding any material dilution of the equity interests of investors purchasing securities in an offering under this prospectus:</w:t>
      </w:r>
    </w:p>
    <w:p>
      <w:pPr>
        <w:pStyle w:val="TextBody"/>
        <w:bidi w:val="0"/>
        <w:spacing w:before="0" w:after="0"/>
        <w:ind w:left="0" w:right="0" w:firstLine="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both"/>
              <w:rPr/>
            </w:pPr>
            <w:r>
              <w:rPr/>
              <w:t>●</w:t>
            </w:r>
          </w:p>
        </w:tc>
        <w:tc>
          <w:tcPr>
            <w:tcW w:w="9960" w:type="dxa"/>
            <w:tcBorders/>
            <w:vAlign w:val="center"/>
          </w:tcPr>
          <w:p>
            <w:pPr>
              <w:pStyle w:val="TableContents"/>
              <w:bidi w:val="0"/>
              <w:spacing w:before="0" w:after="283"/>
              <w:jc w:val="both"/>
              <w:rPr>
                <w:sz w:val="20"/>
              </w:rPr>
            </w:pPr>
            <w:r>
              <w:rPr>
                <w:sz w:val="20"/>
              </w:rPr>
              <w:t>the net tangible book value per share of our equity securities before and after the offering;</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both"/>
              <w:rPr/>
            </w:pPr>
            <w:r>
              <w:rPr/>
              <w:t>●</w:t>
            </w:r>
          </w:p>
        </w:tc>
        <w:tc>
          <w:tcPr>
            <w:tcW w:w="9960" w:type="dxa"/>
            <w:tcBorders/>
            <w:vAlign w:val="center"/>
          </w:tcPr>
          <w:p>
            <w:pPr>
              <w:pStyle w:val="TableContents"/>
              <w:bidi w:val="0"/>
              <w:spacing w:before="0" w:after="283"/>
              <w:jc w:val="both"/>
              <w:rPr>
                <w:sz w:val="20"/>
              </w:rPr>
            </w:pPr>
            <w:r>
              <w:rPr>
                <w:sz w:val="20"/>
              </w:rPr>
              <w:t>the amount of the increase in such net tangible book value per share attributable to the cash payments made by purchasers in the offering; and</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both"/>
              <w:rPr/>
            </w:pPr>
            <w:r>
              <w:rPr/>
              <w:t>●</w:t>
            </w:r>
          </w:p>
        </w:tc>
        <w:tc>
          <w:tcPr>
            <w:tcW w:w="9960" w:type="dxa"/>
            <w:tcBorders/>
            <w:vAlign w:val="center"/>
          </w:tcPr>
          <w:p>
            <w:pPr>
              <w:pStyle w:val="TableContents"/>
              <w:bidi w:val="0"/>
              <w:spacing w:before="0" w:after="283"/>
              <w:jc w:val="both"/>
              <w:rPr>
                <w:sz w:val="20"/>
              </w:rPr>
            </w:pPr>
            <w:r>
              <w:rPr>
                <w:sz w:val="20"/>
              </w:rPr>
              <w:t>the amount of the immediate dilution from the public offering price which will be absorbed by such purchasers.</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8" w:name="a_007"/>
      <w:bookmarkEnd w:id="8"/>
      <w:r>
        <w:rPr>
          <w:rFonts w:ascii="Times New Roman;Times;Serif" w:hAnsi="Times New Roman;Times;Serif"/>
          <w:b/>
          <w:i w:val="false"/>
          <w:caps w:val="false"/>
          <w:smallCaps w:val="false"/>
          <w:sz w:val="20"/>
        </w:rPr>
        <w:t xml:space="preserve">DESCRIPTION OF SECURITIES </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authorized to issue 160,000,000 shares of capital stock consisting of preferred stock and common stock. Below is a summary of the material terms of each such class.</w:t>
      </w:r>
    </w:p>
    <w:p>
      <w:pPr>
        <w:pStyle w:val="TextBody"/>
        <w:shd w:fill="FFFFFF" w:val="clear"/>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the date hereof, there were 2,938,625 shares of our Common Stock and 179,693 shares of Series A Preferred Stock issued and outstanding, respectively.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Common Stock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Corporation is authorized to issue 150,000,000 shares of common stock, with a par value of $0.0001 per share (“Common Stock”).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Voting rights</w:t>
      </w:r>
      <w:r>
        <w:rPr>
          <w:rFonts w:ascii="Times New Roman;Times;Serif" w:hAnsi="Times New Roman;Times;Serif"/>
          <w:b w:val="false"/>
          <w:i w:val="false"/>
          <w:caps w:val="false"/>
          <w:smallCaps w:val="false"/>
          <w:sz w:val="20"/>
        </w:rPr>
        <w:t>. Each holder of Common Stock is entitled to one vote for each share of Common Stock held of record by such holder on all matters voted upon by the Company’s stockholders, provided, however, that, except as otherwise required in the Charter, as provided by law or by the resolution(s) or any certificate of designation providing for the issue of any preferred stock, the holders of Common Stock are not entitled to vote on any amendment to the Charter that relates solely to the terms of one or more outstanding series of Preferred Stock if the holders of such affected series are entitled, either separately or together with the holders of one or more other such series, to vote thereon pursuant to the Charter (including any certificate of designation relating to any series of preferred stock) or pursuant to the DGCL.</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Dividend rights</w:t>
      </w:r>
      <w:r>
        <w:rPr>
          <w:rFonts w:ascii="Times New Roman;Times;Serif" w:hAnsi="Times New Roman;Times;Serif"/>
          <w:b w:val="false"/>
          <w:i w:val="false"/>
          <w:caps w:val="false"/>
          <w:smallCaps w:val="false"/>
          <w:sz w:val="20"/>
        </w:rPr>
        <w:t>. Subject to the rights of holders of preferred stock, holders of Common Stock are entitled to receive ratably, on a per share basis, dividends and other distributions in cash, stock or property of the Company as may be declared and paid from time to time by the Company’s board of directors (the “Board”) out of any of the Company’s assets legally available therefor.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Rights upon liquidation</w:t>
      </w:r>
      <w:r>
        <w:rPr>
          <w:rFonts w:ascii="Times New Roman;Times;Serif" w:hAnsi="Times New Roman;Times;Serif"/>
          <w:b w:val="false"/>
          <w:i w:val="false"/>
          <w:caps w:val="false"/>
          <w:smallCaps w:val="false"/>
          <w:sz w:val="20"/>
        </w:rPr>
        <w:t>. Subject to applicable law and the rights of holders of preferred stock, holders of Common Stock shall be entitled to receive ratably the assets and funds of the Company available for distribution in the event of any liquidation, dissolution or winding up of the Company, whether voluntary or involuntary, unless disparate or different treatment of the shares of each such class with respect to distributions upon any such liquidation, dissolution or winding up is approved in advance by holders of a majority of the outstanding shares of Common Stock.</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Other rights</w:t>
      </w:r>
      <w:r>
        <w:rPr>
          <w:rFonts w:ascii="Times New Roman;Times;Serif" w:hAnsi="Times New Roman;Times;Serif"/>
          <w:b w:val="false"/>
          <w:i w:val="false"/>
          <w:caps w:val="false"/>
          <w:smallCaps w:val="false"/>
          <w:sz w:val="20"/>
        </w:rPr>
        <w:t>. No holder of Common Stock is entitled to preemptive or subscription rights contained in the Charter or in the Bylaws. There are no redemption or sinking fund provisions applicable to the Common Stock. The rights, preferences, and privileges of holders of the Common Stock are subject to those of the holders of any shares of the preferred stock that the Company may issue in the future.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Preferred Stock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Corporation is authorized to issue 10,000,000 shares of Preferred Stock, with a par value of $0.0001 per share (“Preferred Stock”). The Preferred Stock may be issued from time to time in one or more series. The board of directors of the Corporation is hereby expressly authorized, by resolution or resolutions thereof, to provide for the issuance of one or more series of Preferred Stock and, with respect to each such series, to fix the number of shares constituting such series and the designation, powers (including voting powers), preferences and relative, participating, optional or other special rights, if any, and any qualifications, limitations or restrictions thereof. The powers, preferences, and rights of each series of Preferred Stock may differ from those of any and all other series at any time outstanding. The Common Stock (as defined below) shall be subject to the express terms of the Preferred Stock and any series thereof.</w:t>
      </w:r>
    </w:p>
    <w:p>
      <w:pPr>
        <w:pStyle w:val="TextBody"/>
        <w:bidi w:val="0"/>
        <w:spacing w:before="0" w:after="0"/>
        <w:ind w:left="180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board of directors designated 1,810,000 shares of Preferred Stock as Series A Preferred Stock. The holders of Series A Preferred Stock do not have any voting rights and shares of Series A Preferred Stock are not convertible. The Series A Preferred Stock is not redeemable. Upon the completion of a distribution pursuant to a sale or other disposition of all or substantially all of Niki’s assets, certain mergers, consolidations and transfers of securities, and any liquidation, dissolution or winding up of Niki, the holders of Series A Preferred Stock are entitled to receive a distribution of any proceeds based on the 70/30 allocation with the holders of Common Stock, as used in the Merger (as adjusted for any stock splits, stock dividends, combinations, recapitalizations or the like with respect to the Series A Preferred Stock), plus declared but unpaid dividends on such share.</w:t>
      </w:r>
    </w:p>
    <w:p>
      <w:pPr>
        <w:pStyle w:val="TextBody"/>
        <w:bidi w:val="0"/>
        <w:spacing w:before="0" w:after="0"/>
        <w:ind w:left="252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issue from time to time, in one or more offerings pursuant to this registration statement, the following securities:</w:t>
      </w:r>
    </w:p>
    <w:p>
      <w:pPr>
        <w:pStyle w:val="TextBody"/>
        <w:bidi w:val="0"/>
        <w:spacing w:before="0" w:after="0"/>
        <w:ind w:left="0" w:right="0" w:firstLine="720"/>
        <w:jc w:val="both"/>
        <w:rPr>
          <w:caps w:val="false"/>
          <w:smallCaps w:val="false"/>
        </w:rPr>
      </w:pPr>
      <w:r>
        <w:rPr>
          <w:caps w:val="false"/>
          <w:smallCaps w:val="false"/>
        </w:rPr>
        <w:t> </w:t>
      </w:r>
    </w:p>
    <w:tbl>
      <w:tblPr>
        <w:tblW w:w="2350" w:type="dxa"/>
        <w:jc w:val="left"/>
        <w:tblInd w:w="0" w:type="dxa"/>
        <w:tblLayout w:type="fixed"/>
        <w:tblCellMar>
          <w:top w:w="0" w:type="dxa"/>
          <w:left w:w="0" w:type="dxa"/>
          <w:bottom w:w="0" w:type="dxa"/>
          <w:right w:w="0" w:type="dxa"/>
        </w:tblCellMar>
      </w:tblPr>
      <w:tblGrid>
        <w:gridCol w:w="75"/>
        <w:gridCol w:w="170"/>
        <w:gridCol w:w="210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2105" w:type="dxa"/>
            <w:tcBorders/>
            <w:vAlign w:val="center"/>
          </w:tcPr>
          <w:p>
            <w:pPr>
              <w:pStyle w:val="TableContents"/>
              <w:bidi w:val="0"/>
              <w:spacing w:before="0" w:after="283"/>
              <w:jc w:val="both"/>
              <w:rPr>
                <w:sz w:val="20"/>
              </w:rPr>
            </w:pPr>
            <w:r>
              <w:rPr>
                <w:sz w:val="20"/>
              </w:rPr>
              <w:t>shares of Common Stock;</w:t>
            </w:r>
          </w:p>
        </w:tc>
      </w:tr>
    </w:tbl>
    <w:p>
      <w:pPr>
        <w:pStyle w:val="TextBody"/>
        <w:bidi w:val="0"/>
        <w:spacing w:before="0" w:after="0"/>
        <w:ind w:left="0" w:right="0" w:hanging="0"/>
        <w:jc w:val="left"/>
        <w:rPr>
          <w:caps w:val="false"/>
          <w:smallCaps w:val="false"/>
        </w:rPr>
      </w:pPr>
      <w:r>
        <w:rPr>
          <w:caps w:val="false"/>
          <w:smallCaps w:val="false"/>
        </w:rPr>
        <w:t> </w:t>
      </w:r>
    </w:p>
    <w:tbl>
      <w:tblPr>
        <w:tblW w:w="2320" w:type="dxa"/>
        <w:jc w:val="left"/>
        <w:tblInd w:w="0" w:type="dxa"/>
        <w:tblLayout w:type="fixed"/>
        <w:tblCellMar>
          <w:top w:w="0" w:type="dxa"/>
          <w:left w:w="0" w:type="dxa"/>
          <w:bottom w:w="0" w:type="dxa"/>
          <w:right w:w="0" w:type="dxa"/>
        </w:tblCellMar>
      </w:tblPr>
      <w:tblGrid>
        <w:gridCol w:w="75"/>
        <w:gridCol w:w="170"/>
        <w:gridCol w:w="207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2075" w:type="dxa"/>
            <w:tcBorders/>
            <w:vAlign w:val="center"/>
          </w:tcPr>
          <w:p>
            <w:pPr>
              <w:pStyle w:val="TableContents"/>
              <w:bidi w:val="0"/>
              <w:spacing w:before="0" w:after="283"/>
              <w:jc w:val="both"/>
              <w:rPr>
                <w:sz w:val="20"/>
              </w:rPr>
            </w:pPr>
            <w:r>
              <w:rPr>
                <w:sz w:val="20"/>
              </w:rPr>
              <w:t>shares of Preferred Stock;</w:t>
            </w:r>
          </w:p>
        </w:tc>
      </w:tr>
    </w:tbl>
    <w:p>
      <w:pPr>
        <w:pStyle w:val="TextBody"/>
        <w:bidi w:val="0"/>
        <w:spacing w:before="0" w:after="0"/>
        <w:ind w:left="0" w:right="0" w:hanging="0"/>
        <w:jc w:val="left"/>
        <w:rPr>
          <w:caps w:val="false"/>
          <w:smallCaps w:val="false"/>
        </w:rPr>
      </w:pPr>
      <w:r>
        <w:rPr>
          <w:caps w:val="false"/>
          <w:smallCaps w:val="false"/>
        </w:rPr>
        <w:t> </w:t>
      </w:r>
    </w:p>
    <w:tbl>
      <w:tblPr>
        <w:tblW w:w="1510" w:type="dxa"/>
        <w:jc w:val="left"/>
        <w:tblInd w:w="0" w:type="dxa"/>
        <w:tblLayout w:type="fixed"/>
        <w:tblCellMar>
          <w:top w:w="0" w:type="dxa"/>
          <w:left w:w="0" w:type="dxa"/>
          <w:bottom w:w="0" w:type="dxa"/>
          <w:right w:w="0" w:type="dxa"/>
        </w:tblCellMar>
      </w:tblPr>
      <w:tblGrid>
        <w:gridCol w:w="75"/>
        <w:gridCol w:w="170"/>
        <w:gridCol w:w="126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1265" w:type="dxa"/>
            <w:tcBorders/>
            <w:vAlign w:val="center"/>
          </w:tcPr>
          <w:p>
            <w:pPr>
              <w:pStyle w:val="TableContents"/>
              <w:bidi w:val="0"/>
              <w:spacing w:before="0" w:after="283"/>
              <w:jc w:val="both"/>
              <w:rPr>
                <w:sz w:val="20"/>
              </w:rPr>
            </w:pPr>
            <w:r>
              <w:rPr>
                <w:sz w:val="20"/>
              </w:rPr>
              <w:t>debt securities;</w:t>
            </w:r>
          </w:p>
        </w:tc>
      </w:tr>
    </w:tbl>
    <w:p>
      <w:pPr>
        <w:pStyle w:val="TextBody"/>
        <w:bidi w:val="0"/>
        <w:spacing w:before="0" w:after="0"/>
        <w:ind w:left="0" w:right="0" w:hanging="0"/>
        <w:jc w:val="left"/>
        <w:rPr>
          <w:caps w:val="false"/>
          <w:smallCaps w:val="false"/>
        </w:rPr>
      </w:pPr>
      <w:r>
        <w:rPr>
          <w:caps w:val="false"/>
          <w:smallCaps w:val="false"/>
        </w:rPr>
        <w:t> </w:t>
      </w:r>
    </w:p>
    <w:tbl>
      <w:tblPr>
        <w:tblW w:w="6310" w:type="dxa"/>
        <w:jc w:val="left"/>
        <w:tblInd w:w="0" w:type="dxa"/>
        <w:tblLayout w:type="fixed"/>
        <w:tblCellMar>
          <w:top w:w="0" w:type="dxa"/>
          <w:left w:w="0" w:type="dxa"/>
          <w:bottom w:w="0" w:type="dxa"/>
          <w:right w:w="0" w:type="dxa"/>
        </w:tblCellMar>
      </w:tblPr>
      <w:tblGrid>
        <w:gridCol w:w="75"/>
        <w:gridCol w:w="170"/>
        <w:gridCol w:w="606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6065" w:type="dxa"/>
            <w:tcBorders/>
            <w:vAlign w:val="center"/>
          </w:tcPr>
          <w:p>
            <w:pPr>
              <w:pStyle w:val="TableContents"/>
              <w:bidi w:val="0"/>
              <w:spacing w:before="0" w:after="283"/>
              <w:jc w:val="both"/>
              <w:rPr>
                <w:sz w:val="20"/>
              </w:rPr>
            </w:pPr>
            <w:r>
              <w:rPr>
                <w:sz w:val="20"/>
              </w:rPr>
              <w:t>warrants exercisable for debt securities, Common Stock, or preferred stock;</w:t>
            </w:r>
          </w:p>
        </w:tc>
      </w:tr>
    </w:tbl>
    <w:p>
      <w:pPr>
        <w:pStyle w:val="TextBody"/>
        <w:bidi w:val="0"/>
        <w:spacing w:before="0" w:after="0"/>
        <w:ind w:left="0" w:right="0" w:hanging="0"/>
        <w:jc w:val="left"/>
        <w:rPr>
          <w:caps w:val="false"/>
          <w:smallCaps w:val="false"/>
        </w:rPr>
      </w:pPr>
      <w:r>
        <w:rPr>
          <w:caps w:val="false"/>
          <w:smallCaps w:val="false"/>
        </w:rPr>
        <w:t> </w:t>
      </w:r>
    </w:p>
    <w:tbl>
      <w:tblPr>
        <w:tblW w:w="5845" w:type="dxa"/>
        <w:jc w:val="left"/>
        <w:tblInd w:w="0" w:type="dxa"/>
        <w:tblLayout w:type="fixed"/>
        <w:tblCellMar>
          <w:top w:w="0" w:type="dxa"/>
          <w:left w:w="0" w:type="dxa"/>
          <w:bottom w:w="0" w:type="dxa"/>
          <w:right w:w="0" w:type="dxa"/>
        </w:tblCellMar>
      </w:tblPr>
      <w:tblGrid>
        <w:gridCol w:w="75"/>
        <w:gridCol w:w="170"/>
        <w:gridCol w:w="560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5600" w:type="dxa"/>
            <w:tcBorders/>
            <w:vAlign w:val="center"/>
          </w:tcPr>
          <w:p>
            <w:pPr>
              <w:pStyle w:val="TableContents"/>
              <w:bidi w:val="0"/>
              <w:spacing w:before="0" w:after="283"/>
              <w:jc w:val="both"/>
              <w:rPr>
                <w:sz w:val="20"/>
              </w:rPr>
            </w:pPr>
            <w:r>
              <w:rPr>
                <w:sz w:val="20"/>
              </w:rPr>
              <w:t>subscription rights to purchase any of such securities (“Rights”); and</w:t>
            </w:r>
          </w:p>
        </w:tc>
      </w:tr>
    </w:tbl>
    <w:p>
      <w:pPr>
        <w:pStyle w:val="TextBody"/>
        <w:bidi w:val="0"/>
        <w:spacing w:before="0" w:after="0"/>
        <w:ind w:left="0" w:right="0" w:hanging="0"/>
        <w:jc w:val="left"/>
        <w:rPr>
          <w:caps w:val="false"/>
          <w:smallCaps w:val="false"/>
        </w:rPr>
      </w:pPr>
      <w:r>
        <w:rPr>
          <w:caps w:val="false"/>
          <w:smallCaps w:val="false"/>
        </w:rPr>
        <w:t> </w:t>
      </w:r>
    </w:p>
    <w:tbl>
      <w:tblPr>
        <w:tblW w:w="7480" w:type="dxa"/>
        <w:jc w:val="left"/>
        <w:tblInd w:w="0" w:type="dxa"/>
        <w:tblLayout w:type="fixed"/>
        <w:tblCellMar>
          <w:top w:w="0" w:type="dxa"/>
          <w:left w:w="0" w:type="dxa"/>
          <w:bottom w:w="0" w:type="dxa"/>
          <w:right w:w="0" w:type="dxa"/>
        </w:tblCellMar>
      </w:tblPr>
      <w:tblGrid>
        <w:gridCol w:w="75"/>
        <w:gridCol w:w="170"/>
        <w:gridCol w:w="723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7235" w:type="dxa"/>
            <w:tcBorders/>
            <w:vAlign w:val="center"/>
          </w:tcPr>
          <w:p>
            <w:pPr>
              <w:pStyle w:val="TableContents"/>
              <w:bidi w:val="0"/>
              <w:spacing w:before="0" w:after="283"/>
              <w:jc w:val="both"/>
              <w:rPr>
                <w:sz w:val="20"/>
              </w:rPr>
            </w:pPr>
            <w:r>
              <w:rPr>
                <w:sz w:val="20"/>
              </w:rPr>
              <w:t>units of debt securities, Common Stock, Preferred Stock, or warrants, in any combination.</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prospectus contains a summary of the material general terms of the various securities that we may offer. The material general terms of our Common Stock and Preferred Stock are above.  The specific terms of the securities will be described in a prospectus supplement, information incorporated by reference or related free writing prospectus, which may be in addition to or different from the general terms summarized in this prospectus. Where applicable, the prospectus supplement, information incorporated by reference or related free writing prospectus will also describe any material United States federal income tax considerations relating to the securities offered and indicate whether the securities offered are or will be listed on any securities exchange. The summaries contained in this prospectus and in any prospectus supplements, information incorporated by reference or related free writing prospectus may not contain all of the information that you would find useful. Accordingly, you should read the actual documents relating to any securities sold pursuant to this prospectus.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terms of any particular offering, the initial offering price and the net proceeds to us will be contained in the prospectus supplement, information incorporated by reference or free writing prospectus, relating to such offering.</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Description of Rights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issue rights to purchase our securities. The rights may or may not be transferable by the persons purchasing or receiving the rights. In connection with any rights offering, we may enter into a standby underwriting or other arrangement with one or more underwriters or other persons pursuant to which such underwriters or other persons would purchase any offered securities remaining unsubscribed for after such rights offering. Each series of rights will be issued under a separate rights agent agreement to be entered into between us and one or more banks, trust companies or other financial institutions, as rights agent that we will name in the applicable prospectus supplement. The rights agent will act solely as our agent in connection with the rights and will not assume any obligation or relationship of agency or trust for or with any holders of rights certificates or beneficial owners of rights.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4 </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prospectus supplement relating to any rights that we offer will include specific terms relating to the offering, including, among other matters:</w:t>
      </w:r>
    </w:p>
    <w:p>
      <w:pPr>
        <w:pStyle w:val="TextBody"/>
        <w:bidi w:val="0"/>
        <w:spacing w:before="0" w:after="0"/>
        <w:ind w:left="0" w:right="0" w:firstLine="720"/>
        <w:jc w:val="both"/>
        <w:rPr>
          <w:caps w:val="false"/>
          <w:smallCaps w:val="false"/>
        </w:rPr>
      </w:pPr>
      <w:r>
        <w:rPr>
          <w:caps w:val="false"/>
          <w:smallCaps w:val="false"/>
        </w:rPr>
        <w:t> </w:t>
      </w:r>
    </w:p>
    <w:tbl>
      <w:tblPr>
        <w:tblW w:w="6528" w:type="dxa"/>
        <w:jc w:val="left"/>
        <w:tblInd w:w="0" w:type="dxa"/>
        <w:tblLayout w:type="fixed"/>
        <w:tblCellMar>
          <w:top w:w="0" w:type="dxa"/>
          <w:left w:w="0" w:type="dxa"/>
          <w:bottom w:w="0" w:type="dxa"/>
          <w:right w:w="0" w:type="dxa"/>
        </w:tblCellMar>
      </w:tblPr>
      <w:tblGrid>
        <w:gridCol w:w="38"/>
        <w:gridCol w:w="170"/>
        <w:gridCol w:w="632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6320" w:type="dxa"/>
            <w:tcBorders/>
            <w:vAlign w:val="center"/>
          </w:tcPr>
          <w:p>
            <w:pPr>
              <w:pStyle w:val="TableContents"/>
              <w:bidi w:val="0"/>
              <w:spacing w:before="0" w:after="283"/>
              <w:jc w:val="both"/>
              <w:rPr>
                <w:sz w:val="20"/>
              </w:rPr>
            </w:pPr>
            <w:r>
              <w:rPr>
                <w:sz w:val="20"/>
              </w:rPr>
              <w:t>the date of determining the security holders entitled to the rights distribution;</w:t>
            </w:r>
          </w:p>
        </w:tc>
      </w:tr>
    </w:tbl>
    <w:p>
      <w:pPr>
        <w:pStyle w:val="TextBody"/>
        <w:bidi w:val="0"/>
        <w:spacing w:before="0" w:after="0"/>
        <w:ind w:left="0" w:right="0" w:hanging="0"/>
        <w:jc w:val="left"/>
        <w:rPr>
          <w:caps w:val="false"/>
          <w:smallCaps w:val="false"/>
        </w:rPr>
      </w:pPr>
      <w:r>
        <w:rPr>
          <w:caps w:val="false"/>
          <w:smallCaps w:val="false"/>
        </w:rPr>
        <w:t> </w:t>
      </w:r>
    </w:p>
    <w:tbl>
      <w:tblPr>
        <w:tblW w:w="9708" w:type="dxa"/>
        <w:jc w:val="left"/>
        <w:tblInd w:w="0" w:type="dxa"/>
        <w:tblLayout w:type="fixed"/>
        <w:tblCellMar>
          <w:top w:w="0" w:type="dxa"/>
          <w:left w:w="0" w:type="dxa"/>
          <w:bottom w:w="0" w:type="dxa"/>
          <w:right w:w="0" w:type="dxa"/>
        </w:tblCellMar>
      </w:tblPr>
      <w:tblGrid>
        <w:gridCol w:w="38"/>
        <w:gridCol w:w="170"/>
        <w:gridCol w:w="950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500" w:type="dxa"/>
            <w:tcBorders/>
            <w:vAlign w:val="center"/>
          </w:tcPr>
          <w:p>
            <w:pPr>
              <w:pStyle w:val="TableContents"/>
              <w:bidi w:val="0"/>
              <w:spacing w:before="0" w:after="283"/>
              <w:jc w:val="both"/>
              <w:rPr>
                <w:sz w:val="20"/>
              </w:rPr>
            </w:pPr>
            <w:r>
              <w:rPr>
                <w:sz w:val="20"/>
              </w:rPr>
              <w:t>the aggregate number of rights issued and the aggregate amount of securities purchasable upon exercise of the rights;</w:t>
            </w:r>
          </w:p>
        </w:tc>
      </w:tr>
    </w:tbl>
    <w:p>
      <w:pPr>
        <w:pStyle w:val="TextBody"/>
        <w:bidi w:val="0"/>
        <w:spacing w:before="0" w:after="0"/>
        <w:ind w:left="0" w:right="0" w:hanging="0"/>
        <w:jc w:val="left"/>
        <w:rPr>
          <w:caps w:val="false"/>
          <w:smallCaps w:val="false"/>
        </w:rPr>
      </w:pPr>
      <w:r>
        <w:rPr>
          <w:caps w:val="false"/>
          <w:smallCaps w:val="false"/>
        </w:rPr>
        <w:t> </w:t>
      </w:r>
    </w:p>
    <w:tbl>
      <w:tblPr>
        <w:tblW w:w="1713" w:type="dxa"/>
        <w:jc w:val="left"/>
        <w:tblInd w:w="0" w:type="dxa"/>
        <w:tblLayout w:type="fixed"/>
        <w:tblCellMar>
          <w:top w:w="0" w:type="dxa"/>
          <w:left w:w="0" w:type="dxa"/>
          <w:bottom w:w="0" w:type="dxa"/>
          <w:right w:w="0" w:type="dxa"/>
        </w:tblCellMar>
      </w:tblPr>
      <w:tblGrid>
        <w:gridCol w:w="38"/>
        <w:gridCol w:w="170"/>
        <w:gridCol w:w="150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1505" w:type="dxa"/>
            <w:tcBorders/>
            <w:vAlign w:val="center"/>
          </w:tcPr>
          <w:p>
            <w:pPr>
              <w:pStyle w:val="TableContents"/>
              <w:bidi w:val="0"/>
              <w:spacing w:before="0" w:after="283"/>
              <w:jc w:val="both"/>
              <w:rPr>
                <w:sz w:val="20"/>
              </w:rPr>
            </w:pPr>
            <w:r>
              <w:rPr>
                <w:sz w:val="20"/>
              </w:rPr>
              <w:t>the exercise price;</w:t>
            </w:r>
          </w:p>
        </w:tc>
      </w:tr>
    </w:tbl>
    <w:p>
      <w:pPr>
        <w:pStyle w:val="TextBody"/>
        <w:bidi w:val="0"/>
        <w:spacing w:before="0" w:after="0"/>
        <w:ind w:left="0" w:right="0" w:hanging="0"/>
        <w:jc w:val="left"/>
        <w:rPr>
          <w:caps w:val="false"/>
          <w:smallCaps w:val="false"/>
        </w:rPr>
      </w:pPr>
      <w:r>
        <w:rPr>
          <w:caps w:val="false"/>
          <w:smallCaps w:val="false"/>
        </w:rPr>
        <w:t> </w:t>
      </w:r>
    </w:p>
    <w:tbl>
      <w:tblPr>
        <w:tblW w:w="4368" w:type="dxa"/>
        <w:jc w:val="left"/>
        <w:tblInd w:w="0" w:type="dxa"/>
        <w:tblLayout w:type="fixed"/>
        <w:tblCellMar>
          <w:top w:w="0" w:type="dxa"/>
          <w:left w:w="0" w:type="dxa"/>
          <w:bottom w:w="0" w:type="dxa"/>
          <w:right w:w="0" w:type="dxa"/>
        </w:tblCellMar>
      </w:tblPr>
      <w:tblGrid>
        <w:gridCol w:w="38"/>
        <w:gridCol w:w="170"/>
        <w:gridCol w:w="416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4160" w:type="dxa"/>
            <w:tcBorders/>
            <w:vAlign w:val="center"/>
          </w:tcPr>
          <w:p>
            <w:pPr>
              <w:pStyle w:val="TableContents"/>
              <w:bidi w:val="0"/>
              <w:spacing w:before="0" w:after="283"/>
              <w:jc w:val="both"/>
              <w:rPr>
                <w:sz w:val="20"/>
              </w:rPr>
            </w:pPr>
            <w:r>
              <w:rPr>
                <w:sz w:val="20"/>
              </w:rPr>
              <w:t>the conditions to completion of the rights offering;</w:t>
            </w:r>
          </w:p>
        </w:tc>
      </w:tr>
    </w:tbl>
    <w:p>
      <w:pPr>
        <w:pStyle w:val="TextBody"/>
        <w:bidi w:val="0"/>
        <w:spacing w:before="0" w:after="0"/>
        <w:ind w:left="0" w:right="0" w:hanging="0"/>
        <w:jc w:val="left"/>
        <w:rPr>
          <w:caps w:val="false"/>
          <w:smallCaps w:val="false"/>
        </w:rPr>
      </w:pPr>
      <w:r>
        <w:rPr>
          <w:caps w:val="false"/>
          <w:smallCaps w:val="false"/>
        </w:rPr>
        <w:t> </w:t>
      </w:r>
    </w:p>
    <w:tbl>
      <w:tblPr>
        <w:tblW w:w="9378" w:type="dxa"/>
        <w:jc w:val="left"/>
        <w:tblInd w:w="0" w:type="dxa"/>
        <w:tblLayout w:type="fixed"/>
        <w:tblCellMar>
          <w:top w:w="0" w:type="dxa"/>
          <w:left w:w="0" w:type="dxa"/>
          <w:bottom w:w="0" w:type="dxa"/>
          <w:right w:w="0" w:type="dxa"/>
        </w:tblCellMar>
      </w:tblPr>
      <w:tblGrid>
        <w:gridCol w:w="38"/>
        <w:gridCol w:w="170"/>
        <w:gridCol w:w="917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170" w:type="dxa"/>
            <w:tcBorders/>
            <w:vAlign w:val="center"/>
          </w:tcPr>
          <w:p>
            <w:pPr>
              <w:pStyle w:val="TableContents"/>
              <w:bidi w:val="0"/>
              <w:spacing w:before="0" w:after="283"/>
              <w:jc w:val="both"/>
              <w:rPr>
                <w:sz w:val="20"/>
              </w:rPr>
            </w:pPr>
            <w:r>
              <w:rPr>
                <w:sz w:val="20"/>
              </w:rPr>
              <w:t>the date on which the right to exercise the rights will commence and the date on which the rights will expire; and</w:t>
            </w:r>
          </w:p>
        </w:tc>
      </w:tr>
    </w:tbl>
    <w:p>
      <w:pPr>
        <w:pStyle w:val="TextBody"/>
        <w:bidi w:val="0"/>
        <w:spacing w:before="0" w:after="0"/>
        <w:ind w:left="0" w:right="0" w:hanging="0"/>
        <w:jc w:val="left"/>
        <w:rPr>
          <w:caps w:val="false"/>
          <w:smallCaps w:val="false"/>
        </w:rPr>
      </w:pPr>
      <w:r>
        <w:rPr>
          <w:caps w:val="false"/>
          <w:smallCaps w:val="false"/>
        </w:rPr>
        <w:t> </w:t>
      </w:r>
    </w:p>
    <w:tbl>
      <w:tblPr>
        <w:tblW w:w="4263" w:type="dxa"/>
        <w:jc w:val="left"/>
        <w:tblInd w:w="0" w:type="dxa"/>
        <w:tblLayout w:type="fixed"/>
        <w:tblCellMar>
          <w:top w:w="0" w:type="dxa"/>
          <w:left w:w="0" w:type="dxa"/>
          <w:bottom w:w="0" w:type="dxa"/>
          <w:right w:w="0" w:type="dxa"/>
        </w:tblCellMar>
      </w:tblPr>
      <w:tblGrid>
        <w:gridCol w:w="38"/>
        <w:gridCol w:w="170"/>
        <w:gridCol w:w="405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4055" w:type="dxa"/>
            <w:tcBorders/>
            <w:vAlign w:val="center"/>
          </w:tcPr>
          <w:p>
            <w:pPr>
              <w:pStyle w:val="TableContents"/>
              <w:bidi w:val="0"/>
              <w:spacing w:before="0" w:after="283"/>
              <w:jc w:val="both"/>
              <w:rPr>
                <w:sz w:val="20"/>
              </w:rPr>
            </w:pPr>
            <w:r>
              <w:rPr>
                <w:sz w:val="20"/>
              </w:rPr>
              <w:t>any applicable federal income tax considerations.</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right would entitle the holder of the rights to purchase for cash the principal amount of securities at the exercise price set forth in the applicable prospectus supplement. Rights may be exercised at any time up to the close of business on the expiration date for the rights provided in the applicable prospectus supplement. After the close of business on the expiration date, all unexercised rights will become void.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less than all of the rights issued in any rights offering are exercised, we may offer any unsubscribed securities directly to persons other than our security holders, to or through agents, underwriters or dealers or through a combination of such methods, including pursuant to standby arrangements, as described in the applicable prospectus supplement.</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Description of Warrants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issue warrants to purchase our Common Stock or preferred shares. Warrants may be issued independently or together with any other securities that may be sold by us pursuant to this prospectus or any combination of the foregoing and may be attached to, or separate from, such securities. To the extent warrants that we issue are to be publicly traded, each series of such warrants will be issued under a separate warrant agreement to be entered into between us and a warrant agent. While the terms we have summarized below will apply generally to any warrants that we may offer under this prospectus, we will describe in particular the terms of any series of warrants that we may offer in more detail in the applicable prospectus supplement and any applicable free writing prospectus. The terms of any warrants offered under a prospectus supplement may differ from the terms described below.</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will file as exhibits to the registration statement of which this prospectus is a part, or will incorporate by reference from another report that we file with the SEC, the form of the warrant and/or warrant agreement, if any, which may include a form of warrant certificate, as applicable that describes the terms of the particular series of warrants we may offer before the issuance of the related series of warrants. We may issue the warrants under a warrant agreement that we will enter into with a warrant agent to be selected by us. The warrant agent will act solely as our agent in connection with the warrants and will not assume any obligation or relationship of agency or trust for or with any registered holders of warrants or beneficial owners of warrants. The following summary of material provisions of the warrants and warrant agreements is subject to, and qualified in its entirety by reference to, all the provisions of the form of warrant and/or warrant agreement and warrant certificate applicable to a particular series of warrants. We urge you to read the applicable prospectus supplement and any related free writing prospectus, as well as the complete form of warrant and/or the warrant agreement and warrant certificate, as applicable, that contain the terms of the warrants.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particular terms of any issue of warrants will be described in the prospectus supplement relating to the issue. Those terms may include:</w:t>
      </w:r>
    </w:p>
    <w:p>
      <w:pPr>
        <w:pStyle w:val="TextBody"/>
        <w:bidi w:val="0"/>
        <w:spacing w:before="0" w:after="0"/>
        <w:ind w:left="0" w:right="0" w:firstLine="720"/>
        <w:jc w:val="both"/>
        <w:rPr>
          <w:caps w:val="false"/>
          <w:smallCaps w:val="false"/>
        </w:rPr>
      </w:pPr>
      <w:r>
        <w:rPr>
          <w:caps w:val="false"/>
          <w:smallCaps w:val="false"/>
        </w:rPr>
        <w:t> </w:t>
      </w:r>
    </w:p>
    <w:tbl>
      <w:tblPr>
        <w:tblW w:w="2163" w:type="dxa"/>
        <w:jc w:val="left"/>
        <w:tblInd w:w="0" w:type="dxa"/>
        <w:tblLayout w:type="fixed"/>
        <w:tblCellMar>
          <w:top w:w="0" w:type="dxa"/>
          <w:left w:w="0" w:type="dxa"/>
          <w:bottom w:w="0" w:type="dxa"/>
          <w:right w:w="0" w:type="dxa"/>
        </w:tblCellMar>
      </w:tblPr>
      <w:tblGrid>
        <w:gridCol w:w="38"/>
        <w:gridCol w:w="170"/>
        <w:gridCol w:w="195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1955" w:type="dxa"/>
            <w:tcBorders/>
            <w:vAlign w:val="center"/>
          </w:tcPr>
          <w:p>
            <w:pPr>
              <w:pStyle w:val="TableContents"/>
              <w:bidi w:val="0"/>
              <w:spacing w:before="0" w:after="283"/>
              <w:jc w:val="both"/>
              <w:rPr>
                <w:sz w:val="20"/>
              </w:rPr>
            </w:pPr>
            <w:r>
              <w:rPr>
                <w:sz w:val="20"/>
              </w:rPr>
              <w:t>the title of the warrants;</w:t>
            </w:r>
          </w:p>
        </w:tc>
      </w:tr>
    </w:tbl>
    <w:p>
      <w:pPr>
        <w:pStyle w:val="TextBody"/>
        <w:bidi w:val="0"/>
        <w:spacing w:before="0" w:after="0"/>
        <w:ind w:left="0" w:right="0" w:hanging="0"/>
        <w:jc w:val="left"/>
        <w:rPr>
          <w:caps w:val="false"/>
          <w:smallCaps w:val="false"/>
        </w:rPr>
      </w:pPr>
      <w:r>
        <w:rPr>
          <w:caps w:val="false"/>
          <w:smallCaps w:val="false"/>
        </w:rPr>
        <w:t> </w:t>
      </w:r>
    </w:p>
    <w:tbl>
      <w:tblPr>
        <w:tblW w:w="4653" w:type="dxa"/>
        <w:jc w:val="left"/>
        <w:tblInd w:w="0" w:type="dxa"/>
        <w:tblLayout w:type="fixed"/>
        <w:tblCellMar>
          <w:top w:w="0" w:type="dxa"/>
          <w:left w:w="0" w:type="dxa"/>
          <w:bottom w:w="0" w:type="dxa"/>
          <w:right w:w="0" w:type="dxa"/>
        </w:tblCellMar>
      </w:tblPr>
      <w:tblGrid>
        <w:gridCol w:w="38"/>
        <w:gridCol w:w="170"/>
        <w:gridCol w:w="444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4445" w:type="dxa"/>
            <w:tcBorders/>
            <w:vAlign w:val="center"/>
          </w:tcPr>
          <w:p>
            <w:pPr>
              <w:pStyle w:val="TableContents"/>
              <w:bidi w:val="0"/>
              <w:spacing w:before="0" w:after="283"/>
              <w:jc w:val="both"/>
              <w:rPr>
                <w:sz w:val="20"/>
              </w:rPr>
            </w:pPr>
            <w:r>
              <w:rPr>
                <w:sz w:val="20"/>
              </w:rPr>
              <w:t>the price or prices at which the warrants will be issued;</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5 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8710" w:type="dxa"/>
        <w:jc w:val="left"/>
        <w:tblInd w:w="0" w:type="dxa"/>
        <w:tblLayout w:type="fixed"/>
        <w:tblCellMar>
          <w:top w:w="0" w:type="dxa"/>
          <w:left w:w="0" w:type="dxa"/>
          <w:bottom w:w="0" w:type="dxa"/>
          <w:right w:w="0" w:type="dxa"/>
        </w:tblCellMar>
      </w:tblPr>
      <w:tblGrid>
        <w:gridCol w:w="75"/>
        <w:gridCol w:w="170"/>
        <w:gridCol w:w="846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8465" w:type="dxa"/>
            <w:tcBorders/>
            <w:vAlign w:val="center"/>
          </w:tcPr>
          <w:p>
            <w:pPr>
              <w:pStyle w:val="TableContents"/>
              <w:bidi w:val="0"/>
              <w:spacing w:before="0" w:after="283"/>
              <w:jc w:val="both"/>
              <w:rPr>
                <w:sz w:val="20"/>
              </w:rPr>
            </w:pPr>
            <w:r>
              <w:rPr>
                <w:sz w:val="20"/>
              </w:rPr>
              <w:t>the designation, amount and terms of the securities or other rights for which the warrants are exercisable;</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sz w:val="20"/>
              </w:rPr>
            </w:pPr>
            <w:r>
              <w:rPr>
                <w:sz w:val="20"/>
              </w:rPr>
              <w:t>the designation and terms of the other securities, if any, with which the warrants are to be issued and the number of warrants issued with each other security;</w:t>
            </w:r>
          </w:p>
        </w:tc>
      </w:tr>
    </w:tbl>
    <w:p>
      <w:pPr>
        <w:pStyle w:val="TextBody"/>
        <w:bidi w:val="0"/>
        <w:spacing w:before="0" w:after="0"/>
        <w:ind w:left="0" w:right="0" w:hanging="0"/>
        <w:jc w:val="left"/>
        <w:rPr>
          <w:caps w:val="false"/>
          <w:smallCaps w:val="false"/>
        </w:rPr>
      </w:pPr>
      <w:r>
        <w:rPr>
          <w:caps w:val="false"/>
          <w:smallCaps w:val="false"/>
        </w:rPr>
        <w:t> </w:t>
      </w:r>
    </w:p>
    <w:tbl>
      <w:tblPr>
        <w:tblW w:w="3025" w:type="dxa"/>
        <w:jc w:val="left"/>
        <w:tblInd w:w="0" w:type="dxa"/>
        <w:tblLayout w:type="fixed"/>
        <w:tblCellMar>
          <w:top w:w="0" w:type="dxa"/>
          <w:left w:w="0" w:type="dxa"/>
          <w:bottom w:w="0" w:type="dxa"/>
          <w:right w:w="0" w:type="dxa"/>
        </w:tblCellMar>
      </w:tblPr>
      <w:tblGrid>
        <w:gridCol w:w="75"/>
        <w:gridCol w:w="170"/>
        <w:gridCol w:w="278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2780" w:type="dxa"/>
            <w:tcBorders/>
            <w:vAlign w:val="center"/>
          </w:tcPr>
          <w:p>
            <w:pPr>
              <w:pStyle w:val="TableContents"/>
              <w:bidi w:val="0"/>
              <w:spacing w:before="0" w:after="283"/>
              <w:jc w:val="both"/>
              <w:rPr>
                <w:sz w:val="20"/>
              </w:rPr>
            </w:pPr>
            <w:r>
              <w:rPr>
                <w:sz w:val="20"/>
              </w:rPr>
              <w:t>the aggregate number of warrants;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sz w:val="20"/>
              </w:rPr>
            </w:pPr>
            <w:r>
              <w:rPr>
                <w:sz w:val="20"/>
              </w:rPr>
              <w:t>any provisions for adjustment of the number or amount of securities receivable upon exercise of the warrants or the exercise price of the warrants;</w:t>
            </w:r>
          </w:p>
        </w:tc>
      </w:tr>
    </w:tbl>
    <w:p>
      <w:pPr>
        <w:pStyle w:val="TextBody"/>
        <w:bidi w:val="0"/>
        <w:spacing w:before="0" w:after="0"/>
        <w:ind w:left="0" w:right="0" w:hanging="0"/>
        <w:jc w:val="left"/>
        <w:rPr>
          <w:caps w:val="false"/>
          <w:smallCaps w:val="false"/>
        </w:rPr>
      </w:pPr>
      <w:r>
        <w:rPr>
          <w:caps w:val="false"/>
          <w:smallCaps w:val="false"/>
        </w:rPr>
        <w:t> </w:t>
      </w:r>
    </w:p>
    <w:tbl>
      <w:tblPr>
        <w:tblW w:w="9730" w:type="dxa"/>
        <w:jc w:val="left"/>
        <w:tblInd w:w="0" w:type="dxa"/>
        <w:tblLayout w:type="fixed"/>
        <w:tblCellMar>
          <w:top w:w="0" w:type="dxa"/>
          <w:left w:w="0" w:type="dxa"/>
          <w:bottom w:w="0" w:type="dxa"/>
          <w:right w:w="0" w:type="dxa"/>
        </w:tblCellMar>
      </w:tblPr>
      <w:tblGrid>
        <w:gridCol w:w="75"/>
        <w:gridCol w:w="170"/>
        <w:gridCol w:w="948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485" w:type="dxa"/>
            <w:tcBorders/>
            <w:vAlign w:val="center"/>
          </w:tcPr>
          <w:p>
            <w:pPr>
              <w:pStyle w:val="TableContents"/>
              <w:bidi w:val="0"/>
              <w:spacing w:before="0" w:after="283"/>
              <w:jc w:val="both"/>
              <w:rPr>
                <w:sz w:val="20"/>
              </w:rPr>
            </w:pPr>
            <w:r>
              <w:rPr>
                <w:sz w:val="20"/>
              </w:rPr>
              <w:t>the price or prices at which the securities or other rights purchasable upon exercise of the warrants may be purchased;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sz w:val="20"/>
              </w:rPr>
            </w:pPr>
            <w:r>
              <w:rPr>
                <w:sz w:val="20"/>
              </w:rPr>
              <w:t>if applicable, the date on and after which the warrants and the securities or other rights purchasable upon exercise of the warrants will be separately transferable;</w:t>
            </w:r>
          </w:p>
        </w:tc>
      </w:tr>
    </w:tbl>
    <w:p>
      <w:pPr>
        <w:pStyle w:val="TextBody"/>
        <w:bidi w:val="0"/>
        <w:spacing w:before="0" w:after="0"/>
        <w:ind w:left="0" w:right="0" w:hanging="0"/>
        <w:jc w:val="left"/>
        <w:rPr>
          <w:caps w:val="false"/>
          <w:smallCaps w:val="false"/>
        </w:rPr>
      </w:pPr>
      <w:r>
        <w:rPr>
          <w:caps w:val="false"/>
          <w:smallCaps w:val="false"/>
        </w:rPr>
        <w:t> </w:t>
      </w:r>
    </w:p>
    <w:tbl>
      <w:tblPr>
        <w:tblW w:w="9085" w:type="dxa"/>
        <w:jc w:val="left"/>
        <w:tblInd w:w="0" w:type="dxa"/>
        <w:tblLayout w:type="fixed"/>
        <w:tblCellMar>
          <w:top w:w="0" w:type="dxa"/>
          <w:left w:w="0" w:type="dxa"/>
          <w:bottom w:w="0" w:type="dxa"/>
          <w:right w:w="0" w:type="dxa"/>
        </w:tblCellMar>
      </w:tblPr>
      <w:tblGrid>
        <w:gridCol w:w="75"/>
        <w:gridCol w:w="170"/>
        <w:gridCol w:w="884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8840" w:type="dxa"/>
            <w:tcBorders/>
            <w:vAlign w:val="center"/>
          </w:tcPr>
          <w:p>
            <w:pPr>
              <w:pStyle w:val="TableContents"/>
              <w:bidi w:val="0"/>
              <w:spacing w:before="0" w:after="283"/>
              <w:jc w:val="both"/>
              <w:rPr>
                <w:sz w:val="20"/>
              </w:rPr>
            </w:pPr>
            <w:r>
              <w:rPr>
                <w:sz w:val="20"/>
              </w:rPr>
              <w:t>a discussion of any material U.S. federal income tax considerations applicable to the exercise of the warrants;</w:t>
            </w:r>
          </w:p>
        </w:tc>
      </w:tr>
    </w:tbl>
    <w:p>
      <w:pPr>
        <w:pStyle w:val="TextBody"/>
        <w:bidi w:val="0"/>
        <w:spacing w:before="0" w:after="0"/>
        <w:ind w:left="0" w:right="0" w:hanging="0"/>
        <w:jc w:val="left"/>
        <w:rPr>
          <w:caps w:val="false"/>
          <w:smallCaps w:val="false"/>
        </w:rPr>
      </w:pPr>
      <w:r>
        <w:rPr>
          <w:caps w:val="false"/>
          <w:smallCaps w:val="false"/>
        </w:rPr>
        <w:t> </w:t>
      </w:r>
    </w:p>
    <w:tbl>
      <w:tblPr>
        <w:tblW w:w="9250" w:type="dxa"/>
        <w:jc w:val="left"/>
        <w:tblInd w:w="0" w:type="dxa"/>
        <w:tblLayout w:type="fixed"/>
        <w:tblCellMar>
          <w:top w:w="0" w:type="dxa"/>
          <w:left w:w="0" w:type="dxa"/>
          <w:bottom w:w="0" w:type="dxa"/>
          <w:right w:w="0" w:type="dxa"/>
        </w:tblCellMar>
      </w:tblPr>
      <w:tblGrid>
        <w:gridCol w:w="75"/>
        <w:gridCol w:w="170"/>
        <w:gridCol w:w="900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005" w:type="dxa"/>
            <w:tcBorders/>
            <w:vAlign w:val="center"/>
          </w:tcPr>
          <w:p>
            <w:pPr>
              <w:pStyle w:val="TableContents"/>
              <w:bidi w:val="0"/>
              <w:spacing w:before="0" w:after="283"/>
              <w:jc w:val="both"/>
              <w:rPr>
                <w:sz w:val="20"/>
              </w:rPr>
            </w:pPr>
            <w:r>
              <w:rPr>
                <w:sz w:val="20"/>
              </w:rPr>
              <w:t>the date on which the right to exercise the warrants will commence, and the date on which the right will expire;</w:t>
            </w:r>
          </w:p>
        </w:tc>
      </w:tr>
    </w:tbl>
    <w:p>
      <w:pPr>
        <w:pStyle w:val="TextBody"/>
        <w:bidi w:val="0"/>
        <w:spacing w:before="0" w:after="0"/>
        <w:ind w:left="0" w:right="0" w:hanging="0"/>
        <w:jc w:val="left"/>
        <w:rPr>
          <w:caps w:val="false"/>
          <w:smallCaps w:val="false"/>
        </w:rPr>
      </w:pPr>
      <w:r>
        <w:rPr>
          <w:caps w:val="false"/>
          <w:smallCaps w:val="false"/>
        </w:rPr>
        <w:t> </w:t>
      </w:r>
    </w:p>
    <w:tbl>
      <w:tblPr>
        <w:tblW w:w="6820" w:type="dxa"/>
        <w:jc w:val="left"/>
        <w:tblInd w:w="0" w:type="dxa"/>
        <w:tblLayout w:type="fixed"/>
        <w:tblCellMar>
          <w:top w:w="0" w:type="dxa"/>
          <w:left w:w="0" w:type="dxa"/>
          <w:bottom w:w="0" w:type="dxa"/>
          <w:right w:w="0" w:type="dxa"/>
        </w:tblCellMar>
      </w:tblPr>
      <w:tblGrid>
        <w:gridCol w:w="75"/>
        <w:gridCol w:w="170"/>
        <w:gridCol w:w="657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6575" w:type="dxa"/>
            <w:tcBorders/>
            <w:vAlign w:val="center"/>
          </w:tcPr>
          <w:p>
            <w:pPr>
              <w:pStyle w:val="TableContents"/>
              <w:bidi w:val="0"/>
              <w:spacing w:before="0" w:after="283"/>
              <w:jc w:val="both"/>
              <w:rPr>
                <w:sz w:val="20"/>
              </w:rPr>
            </w:pPr>
            <w:r>
              <w:rPr>
                <w:sz w:val="20"/>
              </w:rPr>
              <w:t>the maximum or minimum number of warrants that may be exercised at any time;</w:t>
            </w:r>
          </w:p>
        </w:tc>
      </w:tr>
    </w:tbl>
    <w:p>
      <w:pPr>
        <w:pStyle w:val="TextBody"/>
        <w:bidi w:val="0"/>
        <w:spacing w:before="0" w:after="0"/>
        <w:ind w:left="0" w:right="0" w:hanging="0"/>
        <w:jc w:val="left"/>
        <w:rPr>
          <w:caps w:val="false"/>
          <w:smallCaps w:val="false"/>
        </w:rPr>
      </w:pPr>
      <w:r>
        <w:rPr>
          <w:caps w:val="false"/>
          <w:smallCaps w:val="false"/>
        </w:rPr>
        <w:t> </w:t>
      </w:r>
    </w:p>
    <w:tbl>
      <w:tblPr>
        <w:tblW w:w="5305" w:type="dxa"/>
        <w:jc w:val="left"/>
        <w:tblInd w:w="0" w:type="dxa"/>
        <w:tblLayout w:type="fixed"/>
        <w:tblCellMar>
          <w:top w:w="0" w:type="dxa"/>
          <w:left w:w="0" w:type="dxa"/>
          <w:bottom w:w="0" w:type="dxa"/>
          <w:right w:w="0" w:type="dxa"/>
        </w:tblCellMar>
      </w:tblPr>
      <w:tblGrid>
        <w:gridCol w:w="75"/>
        <w:gridCol w:w="170"/>
        <w:gridCol w:w="50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5060" w:type="dxa"/>
            <w:tcBorders/>
            <w:vAlign w:val="center"/>
          </w:tcPr>
          <w:p>
            <w:pPr>
              <w:pStyle w:val="TableContents"/>
              <w:bidi w:val="0"/>
              <w:spacing w:before="0" w:after="283"/>
              <w:jc w:val="both"/>
              <w:rPr>
                <w:sz w:val="20"/>
              </w:rPr>
            </w:pPr>
            <w:r>
              <w:rPr>
                <w:sz w:val="20"/>
              </w:rPr>
              <w:t>information with respect to book-entry procedures, if any; and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sz w:val="20"/>
              </w:rPr>
            </w:pPr>
            <w:r>
              <w:rPr>
                <w:sz w:val="20"/>
              </w:rPr>
              <w:t>any other terms of the warrants, including terms, procedures and limitations relating to the exchange and exercise of the warrants.</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Exercise of Warrants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warrant will entitle the holder of warrants to purchase the number of Common Stock or preferred shares of the relevant class or series at the exercise price stated or determinable in the prospectus supplement for the warrants. Warrants may be exercised at any time up to the close of business on the expiration date shown in the applicable prospectus supplement, unless otherwise specified in such prospectus supplement. After the close of business on the expiration date, if applicable, unexercised warrants will become void. Warrants may be exercised in the manner described in the applicable prospectus supplement. When the warrant holder makes the payment and properly completes and signs the warrant certificate at the corporate trust office of the warrant agent, if any, or any other office indicated in the prospectus supplement, we will, as soon as possible, forward the securities or other rights that the warrant holder has purchased. If the warrant holder exercises less than all of the warrants represented by the warrant certificate, we will issue a new warrant certificate for the remaining warrants. If we so indicate in the applicable prospectus supplement, holders of the warrants may surrender securities as all or part of the exercise price for warrants.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Prior to the exercise of any warrants to purchase Common Stock or preferred shares of the relevant class or series, holders of the warrants will not have any of the rights of holders of Common Stock or preferred shares purchasable upon exercise, including the right to vote or to receive any payments of dividends or payments upon our liquidation, dissolution or winding up on the Common Stock or preferred shares purchasable upon exercise, if 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Enforceability of Rights by Holders of Warrants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warrant agent will act solely as our agent under the applicable warrant agreement and will not assume any obligation or relationship of agency or trust with any holder of any warrant. A single bank or trust company may act as warrant agent for more than one issue of warrants. A warrant agent will have no duty or responsibility in case of any default by us under the applicable warrant agreement or warrant, including any duty or responsibility to initiate any proceedings at law or otherwise, or to make any demand upon us. Any holder of a warrant may, without the consent of the related warrant agent or the holder of any other warrant, enforce by appropriate legal action its right to exercise, and receive the securities purchasable upon exercise of, its warrants.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Outstanding Warrants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August 27, 2026, we have one common stock purchase warrant to purchase up to 56,625 shares of Common Stock outstanding, with an exercise price of $0.01 per share.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6 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Description of Units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description, together with the additional information we may include in any applicable prospectus supplement, summarizes the material terms and provisions of the units that we may offer under this prospectus. While the terms we have summarized below will apply generally to any units that we may offer under this prospectus, we will describe the particular terms of any series of units in more detail in the applicable prospectus supplement and any related free writing prospectus. The terms of any units offered under a prospectus supplement may differ from the terms described below. However, no prospectus supplement will fundamentally change the terms that are set forth in this prospectus or offer a security that is not registered and described in this prospectus at the time of its effectiveness.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will file as an exhibit to the registration statement of which this prospectus is a part, or will incorporate by reference from another report we file with the SEC, the form of unit agreement that describes the terms of the series of units we may offer under this prospectus, and any supplemental agreements, before the issuance of the related series of units. The following summaries of material terms and provisions of the units are subject to, and qualified in their entirety by reference to, all the provisions of the unit agreement and any supplemental agreements applicable to a particular series of units. We urge you to read the applicable prospectus supplement and any related free writing prospectus, as well as the complete unit agreement and any supplemental agreements that contain the terms of the units.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issue units comprised of Common Stock or preferred shares and warrants in any combination. Each unit will be issued so that the holder of the unit is also the holder of each security included in the unit. Thus, the holder of a unit will have the rights and obligations of a holder of each included security. The unit agreement under which a unit is issued may provide that the securities included in the unit may not be held or transferred separately, at any time or at any time before a specified date. If we offer any units, certain terms of that series of units will be described in the applicable prospectus supplement, including, without limitation, the following, as applicable:</w:t>
      </w:r>
    </w:p>
    <w:p>
      <w:pPr>
        <w:pStyle w:val="TextBody"/>
        <w:bidi w:val="0"/>
        <w:spacing w:before="0" w:after="0"/>
        <w:ind w:left="0" w:right="0" w:firstLine="720"/>
        <w:jc w:val="both"/>
        <w:rPr>
          <w:caps w:val="false"/>
          <w:smallCaps w:val="false"/>
        </w:rPr>
      </w:pPr>
      <w:r>
        <w:rPr>
          <w:caps w:val="false"/>
          <w:smallCaps w:val="false"/>
        </w:rPr>
        <w:t> </w:t>
      </w:r>
    </w:p>
    <w:tbl>
      <w:tblPr>
        <w:tblW w:w="2598" w:type="dxa"/>
        <w:jc w:val="left"/>
        <w:tblInd w:w="0" w:type="dxa"/>
        <w:tblLayout w:type="fixed"/>
        <w:tblCellMar>
          <w:top w:w="0" w:type="dxa"/>
          <w:left w:w="0" w:type="dxa"/>
          <w:bottom w:w="0" w:type="dxa"/>
          <w:right w:w="0" w:type="dxa"/>
        </w:tblCellMar>
      </w:tblPr>
      <w:tblGrid>
        <w:gridCol w:w="38"/>
        <w:gridCol w:w="170"/>
        <w:gridCol w:w="239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2390" w:type="dxa"/>
            <w:tcBorders/>
            <w:vAlign w:val="center"/>
          </w:tcPr>
          <w:p>
            <w:pPr>
              <w:pStyle w:val="TableContents"/>
              <w:bidi w:val="0"/>
              <w:spacing w:before="0" w:after="283"/>
              <w:jc w:val="both"/>
              <w:rPr>
                <w:sz w:val="20"/>
              </w:rPr>
            </w:pPr>
            <w:r>
              <w:rPr>
                <w:sz w:val="20"/>
              </w:rPr>
              <w:t>the title of the series of units;</w:t>
            </w:r>
          </w:p>
        </w:tc>
      </w:tr>
    </w:tbl>
    <w:p>
      <w:pPr>
        <w:pStyle w:val="TextBody"/>
        <w:bidi w:val="0"/>
        <w:spacing w:before="0" w:after="0"/>
        <w:ind w:left="0" w:right="0" w:hanging="0"/>
        <w:jc w:val="left"/>
        <w:rPr>
          <w:caps w:val="false"/>
          <w:smallCaps w:val="false"/>
        </w:rPr>
      </w:pPr>
      <w:r>
        <w:rPr>
          <w:caps w:val="false"/>
          <w:smallCaps w:val="false"/>
        </w:rPr>
        <w:t> </w:t>
      </w:r>
    </w:p>
    <w:tbl>
      <w:tblPr>
        <w:tblW w:w="7413" w:type="dxa"/>
        <w:jc w:val="left"/>
        <w:tblInd w:w="0" w:type="dxa"/>
        <w:tblLayout w:type="fixed"/>
        <w:tblCellMar>
          <w:top w:w="0" w:type="dxa"/>
          <w:left w:w="0" w:type="dxa"/>
          <w:bottom w:w="0" w:type="dxa"/>
          <w:right w:w="0" w:type="dxa"/>
        </w:tblCellMar>
      </w:tblPr>
      <w:tblGrid>
        <w:gridCol w:w="38"/>
        <w:gridCol w:w="170"/>
        <w:gridCol w:w="720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7205" w:type="dxa"/>
            <w:tcBorders/>
            <w:vAlign w:val="center"/>
          </w:tcPr>
          <w:p>
            <w:pPr>
              <w:pStyle w:val="TableContents"/>
              <w:bidi w:val="0"/>
              <w:spacing w:before="0" w:after="283"/>
              <w:jc w:val="both"/>
              <w:rPr>
                <w:sz w:val="20"/>
              </w:rPr>
            </w:pPr>
            <w:r>
              <w:rPr>
                <w:sz w:val="20"/>
              </w:rPr>
              <w:t>identification and description of the separate constituent securities comprising the units;</w:t>
            </w:r>
          </w:p>
        </w:tc>
      </w:tr>
    </w:tbl>
    <w:p>
      <w:pPr>
        <w:pStyle w:val="TextBody"/>
        <w:bidi w:val="0"/>
        <w:spacing w:before="0" w:after="0"/>
        <w:ind w:left="0" w:right="0" w:hanging="0"/>
        <w:jc w:val="center"/>
        <w:rPr>
          <w:caps w:val="false"/>
          <w:smallCaps w:val="false"/>
        </w:rPr>
      </w:pPr>
      <w:r>
        <w:rPr>
          <w:caps w:val="false"/>
          <w:smallCaps w:val="false"/>
        </w:rPr>
        <w:t> </w:t>
      </w:r>
    </w:p>
    <w:tbl>
      <w:tblPr>
        <w:tblW w:w="4383" w:type="dxa"/>
        <w:jc w:val="left"/>
        <w:tblInd w:w="0" w:type="dxa"/>
        <w:tblLayout w:type="fixed"/>
        <w:tblCellMar>
          <w:top w:w="0" w:type="dxa"/>
          <w:left w:w="0" w:type="dxa"/>
          <w:bottom w:w="0" w:type="dxa"/>
          <w:right w:w="0" w:type="dxa"/>
        </w:tblCellMar>
      </w:tblPr>
      <w:tblGrid>
        <w:gridCol w:w="38"/>
        <w:gridCol w:w="170"/>
        <w:gridCol w:w="417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4175" w:type="dxa"/>
            <w:tcBorders/>
            <w:vAlign w:val="center"/>
          </w:tcPr>
          <w:p>
            <w:pPr>
              <w:pStyle w:val="TableContents"/>
              <w:bidi w:val="0"/>
              <w:spacing w:before="0" w:after="283"/>
              <w:jc w:val="both"/>
              <w:rPr>
                <w:sz w:val="20"/>
              </w:rPr>
            </w:pPr>
            <w:r>
              <w:rPr>
                <w:sz w:val="20"/>
              </w:rPr>
              <w:t>the price or prices at which the units will be issued;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sz w:val="20"/>
              </w:rPr>
            </w:pPr>
            <w:r>
              <w:rPr>
                <w:sz w:val="20"/>
              </w:rPr>
              <w:t>the date, if any, on and after which the constituent securities comprising the units will be separately transferable, if applicable;</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sz w:val="20"/>
              </w:rPr>
            </w:pPr>
            <w:r>
              <w:rPr>
                <w:sz w:val="20"/>
              </w:rPr>
              <w:t>any provisions for the issuance, payment, settlement, transfer, or exchange of the units or of the securities comprising the units;</w:t>
            </w:r>
          </w:p>
        </w:tc>
      </w:tr>
    </w:tbl>
    <w:p>
      <w:pPr>
        <w:pStyle w:val="TextBody"/>
        <w:bidi w:val="0"/>
        <w:spacing w:before="0" w:after="0"/>
        <w:ind w:left="0" w:right="0" w:hanging="0"/>
        <w:jc w:val="left"/>
        <w:rPr>
          <w:caps w:val="false"/>
          <w:smallCaps w:val="false"/>
        </w:rPr>
      </w:pPr>
      <w:r>
        <w:rPr>
          <w:caps w:val="false"/>
          <w:smallCaps w:val="false"/>
        </w:rPr>
        <w:t> </w:t>
      </w:r>
    </w:p>
    <w:tbl>
      <w:tblPr>
        <w:tblW w:w="8208" w:type="dxa"/>
        <w:jc w:val="left"/>
        <w:tblInd w:w="0" w:type="dxa"/>
        <w:tblLayout w:type="fixed"/>
        <w:tblCellMar>
          <w:top w:w="0" w:type="dxa"/>
          <w:left w:w="0" w:type="dxa"/>
          <w:bottom w:w="0" w:type="dxa"/>
          <w:right w:w="0" w:type="dxa"/>
        </w:tblCellMar>
      </w:tblPr>
      <w:tblGrid>
        <w:gridCol w:w="38"/>
        <w:gridCol w:w="170"/>
        <w:gridCol w:w="800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8000" w:type="dxa"/>
            <w:tcBorders/>
            <w:vAlign w:val="center"/>
          </w:tcPr>
          <w:p>
            <w:pPr>
              <w:pStyle w:val="TableContents"/>
              <w:bidi w:val="0"/>
              <w:spacing w:before="0" w:after="283"/>
              <w:jc w:val="both"/>
              <w:rPr>
                <w:sz w:val="20"/>
              </w:rPr>
            </w:pPr>
            <w:r>
              <w:rPr>
                <w:sz w:val="20"/>
              </w:rPr>
              <w:t>a discussion of certain United States federal income tax considerations applicable to the units; and</w:t>
            </w:r>
          </w:p>
        </w:tc>
      </w:tr>
    </w:tbl>
    <w:p>
      <w:pPr>
        <w:pStyle w:val="TextBody"/>
        <w:bidi w:val="0"/>
        <w:spacing w:before="0" w:after="0"/>
        <w:ind w:left="0" w:right="0" w:hanging="0"/>
        <w:jc w:val="left"/>
        <w:rPr>
          <w:caps w:val="false"/>
          <w:smallCaps w:val="false"/>
        </w:rPr>
      </w:pPr>
      <w:r>
        <w:rPr>
          <w:caps w:val="false"/>
          <w:smallCaps w:val="false"/>
        </w:rPr>
        <w:t> </w:t>
      </w:r>
    </w:p>
    <w:tbl>
      <w:tblPr>
        <w:tblW w:w="5733" w:type="dxa"/>
        <w:jc w:val="left"/>
        <w:tblInd w:w="0" w:type="dxa"/>
        <w:tblLayout w:type="fixed"/>
        <w:tblCellMar>
          <w:top w:w="0" w:type="dxa"/>
          <w:left w:w="0" w:type="dxa"/>
          <w:bottom w:w="0" w:type="dxa"/>
          <w:right w:w="0" w:type="dxa"/>
        </w:tblCellMar>
      </w:tblPr>
      <w:tblGrid>
        <w:gridCol w:w="38"/>
        <w:gridCol w:w="170"/>
        <w:gridCol w:w="552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5525" w:type="dxa"/>
            <w:tcBorders/>
            <w:vAlign w:val="center"/>
          </w:tcPr>
          <w:p>
            <w:pPr>
              <w:pStyle w:val="TableContents"/>
              <w:bidi w:val="0"/>
              <w:spacing w:before="0" w:after="283"/>
              <w:jc w:val="both"/>
              <w:rPr>
                <w:sz w:val="20"/>
              </w:rPr>
            </w:pPr>
            <w:r>
              <w:rPr>
                <w:sz w:val="20"/>
              </w:rPr>
              <w:t>any other material terms of the units and their constituent securities.</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provisions described in this section, as well as those described under “Description of Securities” will apply to each unit and to any Common Stock, preferred shares or warrant included in each unit, respectively.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Issuance in Series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issue units in such amounts and in numerous distinct series as we determine.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Enforceability of Rights by Holders of Units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enter into unit agreements with a unit agent. Each unit agent will act solely as our agent under the applicable unit agreement and will not assume any obligation or relationship of agency or trust with any holder of any unit. A single bank or trust company may act as unit agent for more than one series of units. A unit agent will have no duty or responsibility in case of any default by us under the applicable unit agreement or unit, including any duty or responsibility to initiate any proceedings at law or otherwise, or to make any demand upon us. Any holder of a unit may, without the consent of the related unit agent or the holder of any other unit, enforce by appropriate legal action its rights as holder under any security included in the unit.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the unit agents and any of their agents may treat the registered holder of any unit certificate as an absolute owner of the units evidenced by that certificate for any purpose and as the person entitled to exercise the rights attaching to the units so requested, despite any notice to the contrary.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7 </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Description of Debt Securities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description, together with the additional information we include in any applicable prospectus supplements, summarizes the material terms and provisions of the debt securities that we may offer under this prospectus. While the terms we have summarized below will generally apply to any future debt securities we may offer under this prospectus, we will describe the particular terms of any debt securities that we may offer in more detail in the applicable prospectus supplement. The terms of any debt securities we offer under a prospectus supplement may differ from the terms we describe below. As of the date of this prospectus, we have no outstanding registered debt securities.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issue notes under senior or subordinated indentures or, separately, without the use of an indenture. If we issue senior or subordinated notes without the use of an indenture, we will issue such senior or subordinated notes directly to the purchasers of such senior or subordinated notes.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we issue senior notes under a senior indenture, we will enter into such subordinated indenture with the trustee to be named in such senior indenture. If we issue subordinated notes under a subordinated indenture, we will enter into such subordinated indenture with the trustee to be named in such subordinated indenture. We will file as exhibits to the registration statement of which this prospectus is a part, or will incorporate by reference from another report that we file with the SEC, the form of such notes and indentures, if any, that describes the terms of the particular note we may offer under this prospectus, and any supplement agreements, before the issuance of the related note. We use the term “indentures” to refer to both the senior indenture and the subordinated indenture.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indentures will be qualified under the Trust Indenture Act of 1939. References to the Trust Indenture Act of 1939 include all amendments thereto. We use the term “debenture trustee” to refer to either the senior trustee or the subordinated trustee, as applicable.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summaries of material provisions of the senior notes, the subordinated notes and the indentures are subject to, and qualified in their entirety by reference to, all the provisions of the indenture applicable to a particular series of debt securities, and all supplements thereto. We urge you to read the applicable prospectus supplements related to the debt securities that we sell under this prospectus, as well as the complete indentures that contain the terms of the debt securities. Except as we may otherwise indicate, the terms of the senior and the subordinated indentures are identical.</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statements and descriptions in this prospectus or in any prospectus supplement regarding provisions of debt securities and any indentures are summaries of these provisions, do not purport to be complete and are subject to, and are qualified in their entirety by reference to, all of the provisions of the debt securities and the indentures (including any amendments or supplements we may enter into from time to time which are permitted under the debt securities or any indenture).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General</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terms of each series of debt securities will be established by or pursuant to a resolution of our board of directors and set forth or determined in the manner provided in an officers’ certificate or by a supplemental indenture. Debt securities may be issued in separate series without limitation as to aggregate principal amount. We may specify a maximum aggregate principal amount for the debt securities of any series. In addition, the particular terms of each series of debt securities will be described in a prospectus supplement relating to such series, including any pricing supplement. The prospectus supplement will set forth, among other things:</w:t>
      </w:r>
    </w:p>
    <w:p>
      <w:pPr>
        <w:pStyle w:val="TextBody"/>
        <w:bidi w:val="0"/>
        <w:spacing w:before="0" w:after="0"/>
        <w:ind w:left="0" w:right="0" w:firstLine="720"/>
        <w:jc w:val="both"/>
        <w:rPr>
          <w:caps w:val="false"/>
          <w:smallCaps w:val="false"/>
        </w:rPr>
      </w:pPr>
      <w:r>
        <w:rPr>
          <w:caps w:val="false"/>
          <w:smallCaps w:val="false"/>
        </w:rPr>
        <w:t> </w:t>
      </w:r>
    </w:p>
    <w:tbl>
      <w:tblPr>
        <w:tblW w:w="933" w:type="dxa"/>
        <w:jc w:val="left"/>
        <w:tblInd w:w="0" w:type="dxa"/>
        <w:tblLayout w:type="fixed"/>
        <w:tblCellMar>
          <w:top w:w="0" w:type="dxa"/>
          <w:left w:w="0" w:type="dxa"/>
          <w:bottom w:w="0" w:type="dxa"/>
          <w:right w:w="0" w:type="dxa"/>
        </w:tblCellMar>
      </w:tblPr>
      <w:tblGrid>
        <w:gridCol w:w="38"/>
        <w:gridCol w:w="170"/>
        <w:gridCol w:w="72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725" w:type="dxa"/>
            <w:tcBorders/>
            <w:vAlign w:val="center"/>
          </w:tcPr>
          <w:p>
            <w:pPr>
              <w:pStyle w:val="TableContents"/>
              <w:bidi w:val="0"/>
              <w:spacing w:before="0" w:after="283"/>
              <w:jc w:val="both"/>
              <w:rPr>
                <w:sz w:val="20"/>
              </w:rPr>
            </w:pPr>
            <w:r>
              <w:rPr>
                <w:sz w:val="20"/>
              </w:rPr>
              <w:t>the title;</w:t>
            </w:r>
          </w:p>
        </w:tc>
      </w:tr>
    </w:tbl>
    <w:p>
      <w:pPr>
        <w:pStyle w:val="TextBody"/>
        <w:bidi w:val="0"/>
        <w:spacing w:before="0" w:after="0"/>
        <w:ind w:left="0" w:right="0" w:hanging="0"/>
        <w:jc w:val="left"/>
        <w:rPr>
          <w:caps w:val="false"/>
          <w:smallCaps w:val="false"/>
        </w:rPr>
      </w:pPr>
      <w:r>
        <w:rPr>
          <w:caps w:val="false"/>
          <w:smallCaps w:val="false"/>
        </w:rPr>
        <w:t> </w:t>
      </w:r>
    </w:p>
    <w:tbl>
      <w:tblPr>
        <w:tblW w:w="9438" w:type="dxa"/>
        <w:jc w:val="left"/>
        <w:tblInd w:w="0" w:type="dxa"/>
        <w:tblLayout w:type="fixed"/>
        <w:tblCellMar>
          <w:top w:w="0" w:type="dxa"/>
          <w:left w:w="0" w:type="dxa"/>
          <w:bottom w:w="0" w:type="dxa"/>
          <w:right w:w="0" w:type="dxa"/>
        </w:tblCellMar>
      </w:tblPr>
      <w:tblGrid>
        <w:gridCol w:w="38"/>
        <w:gridCol w:w="170"/>
        <w:gridCol w:w="923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230" w:type="dxa"/>
            <w:tcBorders/>
            <w:vAlign w:val="center"/>
          </w:tcPr>
          <w:p>
            <w:pPr>
              <w:pStyle w:val="TableContents"/>
              <w:bidi w:val="0"/>
              <w:spacing w:before="0" w:after="283"/>
              <w:jc w:val="both"/>
              <w:rPr>
                <w:sz w:val="20"/>
              </w:rPr>
            </w:pPr>
            <w:r>
              <w:rPr>
                <w:sz w:val="20"/>
              </w:rPr>
              <w:t>the principal amount being offered, and, if a series, the total amount authorized and the total amount outstanding;</w:t>
            </w:r>
          </w:p>
        </w:tc>
      </w:tr>
    </w:tbl>
    <w:p>
      <w:pPr>
        <w:pStyle w:val="TextBody"/>
        <w:bidi w:val="0"/>
        <w:spacing w:before="0" w:after="0"/>
        <w:ind w:left="0" w:right="0" w:hanging="0"/>
        <w:jc w:val="left"/>
        <w:rPr>
          <w:caps w:val="false"/>
          <w:smallCaps w:val="false"/>
        </w:rPr>
      </w:pPr>
      <w:r>
        <w:rPr>
          <w:caps w:val="false"/>
          <w:smallCaps w:val="false"/>
        </w:rPr>
        <w:t> </w:t>
      </w:r>
    </w:p>
    <w:tbl>
      <w:tblPr>
        <w:tblW w:w="3798" w:type="dxa"/>
        <w:jc w:val="left"/>
        <w:tblInd w:w="0" w:type="dxa"/>
        <w:tblLayout w:type="fixed"/>
        <w:tblCellMar>
          <w:top w:w="0" w:type="dxa"/>
          <w:left w:w="0" w:type="dxa"/>
          <w:bottom w:w="0" w:type="dxa"/>
          <w:right w:w="0" w:type="dxa"/>
        </w:tblCellMar>
      </w:tblPr>
      <w:tblGrid>
        <w:gridCol w:w="38"/>
        <w:gridCol w:w="170"/>
        <w:gridCol w:w="359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3590" w:type="dxa"/>
            <w:tcBorders/>
            <w:vAlign w:val="center"/>
          </w:tcPr>
          <w:p>
            <w:pPr>
              <w:pStyle w:val="TableContents"/>
              <w:bidi w:val="0"/>
              <w:spacing w:before="0" w:after="283"/>
              <w:jc w:val="both"/>
              <w:rPr>
                <w:sz w:val="20"/>
              </w:rPr>
            </w:pPr>
            <w:r>
              <w:rPr>
                <w:sz w:val="20"/>
              </w:rPr>
              <w:t>any limit on the amount that may be issued;</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8 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10113" w:type="dxa"/>
        <w:jc w:val="left"/>
        <w:tblInd w:w="0" w:type="dxa"/>
        <w:tblLayout w:type="fixed"/>
        <w:tblCellMar>
          <w:top w:w="0" w:type="dxa"/>
          <w:left w:w="0" w:type="dxa"/>
          <w:bottom w:w="0" w:type="dxa"/>
          <w:right w:w="0" w:type="dxa"/>
        </w:tblCellMar>
      </w:tblPr>
      <w:tblGrid>
        <w:gridCol w:w="38"/>
        <w:gridCol w:w="170"/>
        <w:gridCol w:w="990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05" w:type="dxa"/>
            <w:tcBorders/>
            <w:vAlign w:val="center"/>
          </w:tcPr>
          <w:p>
            <w:pPr>
              <w:pStyle w:val="TableContents"/>
              <w:bidi w:val="0"/>
              <w:spacing w:before="0" w:after="283"/>
              <w:jc w:val="both"/>
              <w:rPr>
                <w:sz w:val="20"/>
              </w:rPr>
            </w:pPr>
            <w:r>
              <w:rPr>
                <w:sz w:val="20"/>
              </w:rPr>
              <w:t>whether or not we will issue the series of debt securities in global form and, if so, the terms and who the depositary will be;</w:t>
            </w:r>
          </w:p>
        </w:tc>
      </w:tr>
    </w:tbl>
    <w:p>
      <w:pPr>
        <w:pStyle w:val="TextBody"/>
        <w:bidi w:val="0"/>
        <w:spacing w:before="0" w:after="0"/>
        <w:ind w:left="0" w:right="0" w:hanging="0"/>
        <w:jc w:val="left"/>
        <w:rPr>
          <w:caps w:val="false"/>
          <w:smallCaps w:val="false"/>
        </w:rPr>
      </w:pPr>
      <w:r>
        <w:rPr>
          <w:caps w:val="false"/>
          <w:smallCaps w:val="false"/>
        </w:rPr>
        <w:t> </w:t>
      </w:r>
    </w:p>
    <w:tbl>
      <w:tblPr>
        <w:tblW w:w="1683" w:type="dxa"/>
        <w:jc w:val="left"/>
        <w:tblInd w:w="0" w:type="dxa"/>
        <w:tblLayout w:type="fixed"/>
        <w:tblCellMar>
          <w:top w:w="0" w:type="dxa"/>
          <w:left w:w="0" w:type="dxa"/>
          <w:bottom w:w="0" w:type="dxa"/>
          <w:right w:w="0" w:type="dxa"/>
        </w:tblCellMar>
      </w:tblPr>
      <w:tblGrid>
        <w:gridCol w:w="38"/>
        <w:gridCol w:w="170"/>
        <w:gridCol w:w="147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1475" w:type="dxa"/>
            <w:tcBorders/>
            <w:vAlign w:val="center"/>
          </w:tcPr>
          <w:p>
            <w:pPr>
              <w:pStyle w:val="TableContents"/>
              <w:bidi w:val="0"/>
              <w:spacing w:before="0" w:after="283"/>
              <w:jc w:val="both"/>
              <w:rPr>
                <w:sz w:val="20"/>
              </w:rPr>
            </w:pPr>
            <w:r>
              <w:rPr>
                <w:sz w:val="20"/>
              </w:rPr>
              <w:t>the maturity date;</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sz w:val="20"/>
              </w:rPr>
            </w:pPr>
            <w:r>
              <w:rPr>
                <w:sz w:val="20"/>
              </w:rPr>
              <w:t>whether and under what circumstances, if any, we will pay additional amounts on any debt securities held by a person who is not a U.S. person for tax purposes, and whether we can redeem the debt securities if we have to pay such additional amounts;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sz w:val="20"/>
              </w:rPr>
            </w:pPr>
            <w:r>
              <w:rPr>
                <w:sz w:val="20"/>
              </w:rPr>
              <w:t>the annual interest rate, which may be fixed or variable, or the method for determining the rate, the date interest will begin to accrue, the dates interest will be payable and the regular record dates for interest payment dates or the method for determining such dates;</w:t>
            </w:r>
          </w:p>
        </w:tc>
      </w:tr>
    </w:tbl>
    <w:p>
      <w:pPr>
        <w:pStyle w:val="TextBody"/>
        <w:bidi w:val="0"/>
        <w:spacing w:before="0" w:after="0"/>
        <w:ind w:left="0" w:right="0" w:hanging="0"/>
        <w:jc w:val="left"/>
        <w:rPr>
          <w:caps w:val="false"/>
          <w:smallCaps w:val="false"/>
        </w:rPr>
      </w:pPr>
      <w:r>
        <w:rPr>
          <w:caps w:val="false"/>
          <w:smallCaps w:val="false"/>
        </w:rPr>
        <w:t> </w:t>
      </w:r>
    </w:p>
    <w:tbl>
      <w:tblPr>
        <w:tblW w:w="6618" w:type="dxa"/>
        <w:jc w:val="left"/>
        <w:tblInd w:w="0" w:type="dxa"/>
        <w:tblLayout w:type="fixed"/>
        <w:tblCellMar>
          <w:top w:w="0" w:type="dxa"/>
          <w:left w:w="0" w:type="dxa"/>
          <w:bottom w:w="0" w:type="dxa"/>
          <w:right w:w="0" w:type="dxa"/>
        </w:tblCellMar>
      </w:tblPr>
      <w:tblGrid>
        <w:gridCol w:w="38"/>
        <w:gridCol w:w="170"/>
        <w:gridCol w:w="641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6410" w:type="dxa"/>
            <w:tcBorders/>
            <w:vAlign w:val="center"/>
          </w:tcPr>
          <w:p>
            <w:pPr>
              <w:pStyle w:val="TableContents"/>
              <w:bidi w:val="0"/>
              <w:spacing w:before="0" w:after="283"/>
              <w:jc w:val="both"/>
              <w:rPr>
                <w:sz w:val="20"/>
              </w:rPr>
            </w:pPr>
            <w:r>
              <w:rPr>
                <w:sz w:val="20"/>
              </w:rPr>
              <w:t>the terms of the subordination of any series of subordinated debt, if applicable;</w:t>
            </w:r>
          </w:p>
        </w:tc>
      </w:tr>
    </w:tbl>
    <w:p>
      <w:pPr>
        <w:pStyle w:val="TextBody"/>
        <w:bidi w:val="0"/>
        <w:spacing w:before="0" w:after="0"/>
        <w:ind w:left="0" w:right="0" w:hanging="0"/>
        <w:jc w:val="left"/>
        <w:rPr>
          <w:caps w:val="false"/>
          <w:smallCaps w:val="false"/>
        </w:rPr>
      </w:pPr>
      <w:r>
        <w:rPr>
          <w:caps w:val="false"/>
          <w:smallCaps w:val="false"/>
        </w:rPr>
        <w:t> </w:t>
      </w:r>
    </w:p>
    <w:tbl>
      <w:tblPr>
        <w:tblW w:w="3678" w:type="dxa"/>
        <w:jc w:val="left"/>
        <w:tblInd w:w="0" w:type="dxa"/>
        <w:tblLayout w:type="fixed"/>
        <w:tblCellMar>
          <w:top w:w="0" w:type="dxa"/>
          <w:left w:w="0" w:type="dxa"/>
          <w:bottom w:w="0" w:type="dxa"/>
          <w:right w:w="0" w:type="dxa"/>
        </w:tblCellMar>
      </w:tblPr>
      <w:tblGrid>
        <w:gridCol w:w="38"/>
        <w:gridCol w:w="170"/>
        <w:gridCol w:w="347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3470" w:type="dxa"/>
            <w:tcBorders/>
            <w:vAlign w:val="center"/>
          </w:tcPr>
          <w:p>
            <w:pPr>
              <w:pStyle w:val="TableContents"/>
              <w:bidi w:val="0"/>
              <w:spacing w:before="0" w:after="283"/>
              <w:jc w:val="both"/>
              <w:rPr>
                <w:sz w:val="20"/>
              </w:rPr>
            </w:pPr>
            <w:r>
              <w:rPr>
                <w:sz w:val="20"/>
              </w:rPr>
              <w:t>the place where payments will be payable;</w:t>
            </w:r>
          </w:p>
        </w:tc>
      </w:tr>
    </w:tbl>
    <w:p>
      <w:pPr>
        <w:pStyle w:val="TextBody"/>
        <w:bidi w:val="0"/>
        <w:spacing w:before="0" w:after="0"/>
        <w:ind w:left="0" w:right="0" w:hanging="0"/>
        <w:jc w:val="left"/>
        <w:rPr>
          <w:caps w:val="false"/>
          <w:smallCaps w:val="false"/>
        </w:rPr>
      </w:pPr>
      <w:r>
        <w:rPr>
          <w:caps w:val="false"/>
          <w:smallCaps w:val="false"/>
        </w:rPr>
        <w:t> </w:t>
      </w:r>
    </w:p>
    <w:tbl>
      <w:tblPr>
        <w:tblW w:w="4780" w:type="dxa"/>
        <w:jc w:val="left"/>
        <w:tblInd w:w="0" w:type="dxa"/>
        <w:tblLayout w:type="fixed"/>
        <w:tblCellMar>
          <w:top w:w="0" w:type="dxa"/>
          <w:left w:w="0" w:type="dxa"/>
          <w:bottom w:w="0" w:type="dxa"/>
          <w:right w:w="0" w:type="dxa"/>
        </w:tblCellMar>
      </w:tblPr>
      <w:tblGrid>
        <w:gridCol w:w="75"/>
        <w:gridCol w:w="170"/>
        <w:gridCol w:w="453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4535" w:type="dxa"/>
            <w:tcBorders/>
            <w:vAlign w:val="center"/>
          </w:tcPr>
          <w:p>
            <w:pPr>
              <w:pStyle w:val="TableContents"/>
              <w:bidi w:val="0"/>
              <w:spacing w:before="0" w:after="283"/>
              <w:jc w:val="both"/>
              <w:rPr>
                <w:sz w:val="20"/>
              </w:rPr>
            </w:pPr>
            <w:r>
              <w:rPr>
                <w:sz w:val="20"/>
              </w:rPr>
              <w:t>restrictions on transfer, sale, or other assignment, if any;</w:t>
            </w:r>
          </w:p>
        </w:tc>
      </w:tr>
    </w:tbl>
    <w:p>
      <w:pPr>
        <w:pStyle w:val="TextBody"/>
        <w:bidi w:val="0"/>
        <w:spacing w:before="0" w:after="0"/>
        <w:ind w:left="0" w:right="0" w:hanging="0"/>
        <w:jc w:val="left"/>
        <w:rPr>
          <w:caps w:val="false"/>
          <w:smallCaps w:val="false"/>
        </w:rPr>
      </w:pPr>
      <w:r>
        <w:rPr>
          <w:caps w:val="false"/>
          <w:smallCaps w:val="false"/>
        </w:rPr>
        <w:t> </w:t>
      </w:r>
    </w:p>
    <w:tbl>
      <w:tblPr>
        <w:tblW w:w="8185" w:type="dxa"/>
        <w:jc w:val="left"/>
        <w:tblInd w:w="0" w:type="dxa"/>
        <w:tblLayout w:type="fixed"/>
        <w:tblCellMar>
          <w:top w:w="0" w:type="dxa"/>
          <w:left w:w="0" w:type="dxa"/>
          <w:bottom w:w="0" w:type="dxa"/>
          <w:right w:w="0" w:type="dxa"/>
        </w:tblCellMar>
      </w:tblPr>
      <w:tblGrid>
        <w:gridCol w:w="75"/>
        <w:gridCol w:w="170"/>
        <w:gridCol w:w="794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7940" w:type="dxa"/>
            <w:tcBorders/>
            <w:vAlign w:val="center"/>
          </w:tcPr>
          <w:p>
            <w:pPr>
              <w:pStyle w:val="TableContents"/>
              <w:bidi w:val="0"/>
              <w:spacing w:before="0" w:after="283"/>
              <w:jc w:val="both"/>
              <w:rPr>
                <w:sz w:val="20"/>
              </w:rPr>
            </w:pPr>
            <w:r>
              <w:rPr>
                <w:sz w:val="20"/>
              </w:rPr>
              <w:t>our right, if any, to defer payment of interest and the maximum length of any such deferral period;</w:t>
            </w:r>
          </w:p>
        </w:tc>
      </w:tr>
    </w:tbl>
    <w:p>
      <w:pPr>
        <w:pStyle w:val="TextBody"/>
        <w:bidi w:val="0"/>
        <w:spacing w:before="0" w:after="0"/>
        <w:ind w:left="0" w:right="0" w:hanging="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sz w:val="20"/>
              </w:rPr>
            </w:pPr>
            <w:r>
              <w:rPr>
                <w:sz w:val="20"/>
              </w:rPr>
              <w:t>the date, if any, after which, the conditions upon which, and the price at which we may, at our option, redeem the series of debt securities pursuant to any optional or provisional redemption provisions, and any other applicable terms of those redemption provisions;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sz w:val="20"/>
              </w:rPr>
            </w:pPr>
            <w:r>
              <w:rPr>
                <w:sz w:val="20"/>
              </w:rPr>
              <w:t>the date, if any, on which, and the price at which we are obligated, pursuant to any mandatory sinking fund or analogous fund provisions or otherwise, to redeem, or at the holder’s option to purchase, the series of debt securities and the currency or currency unit in which the debt securities are payable;</w:t>
            </w:r>
          </w:p>
        </w:tc>
      </w:tr>
    </w:tbl>
    <w:p>
      <w:pPr>
        <w:pStyle w:val="TextBody"/>
        <w:bidi w:val="0"/>
        <w:spacing w:before="0" w:after="0"/>
        <w:ind w:left="0" w:right="0" w:hanging="0"/>
        <w:jc w:val="left"/>
        <w:rPr>
          <w:caps w:val="false"/>
          <w:smallCaps w:val="false"/>
        </w:rPr>
      </w:pPr>
      <w:r>
        <w:rPr>
          <w:caps w:val="false"/>
          <w:smallCaps w:val="false"/>
        </w:rPr>
        <w:t> </w:t>
      </w:r>
    </w:p>
    <w:tbl>
      <w:tblPr>
        <w:tblW w:w="8830" w:type="dxa"/>
        <w:jc w:val="left"/>
        <w:tblInd w:w="0" w:type="dxa"/>
        <w:tblLayout w:type="fixed"/>
        <w:tblCellMar>
          <w:top w:w="0" w:type="dxa"/>
          <w:left w:w="0" w:type="dxa"/>
          <w:bottom w:w="0" w:type="dxa"/>
          <w:right w:w="0" w:type="dxa"/>
        </w:tblCellMar>
      </w:tblPr>
      <w:tblGrid>
        <w:gridCol w:w="75"/>
        <w:gridCol w:w="170"/>
        <w:gridCol w:w="858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8585" w:type="dxa"/>
            <w:tcBorders/>
            <w:vAlign w:val="center"/>
          </w:tcPr>
          <w:p>
            <w:pPr>
              <w:pStyle w:val="TableContents"/>
              <w:bidi w:val="0"/>
              <w:spacing w:before="0" w:after="283"/>
              <w:jc w:val="both"/>
              <w:rPr>
                <w:sz w:val="20"/>
              </w:rPr>
            </w:pPr>
            <w:r>
              <w:rPr>
                <w:sz w:val="20"/>
              </w:rPr>
              <w:t>whether the indenture will restrict our ability and/or the ability of our subsidiaries to, among other things:</w:t>
            </w:r>
          </w:p>
        </w:tc>
      </w:tr>
    </w:tbl>
    <w:p>
      <w:pPr>
        <w:pStyle w:val="TextBody"/>
        <w:bidi w:val="0"/>
        <w:spacing w:before="0" w:after="0"/>
        <w:ind w:left="0" w:right="0" w:hanging="0"/>
        <w:jc w:val="left"/>
        <w:rPr>
          <w:caps w:val="false"/>
          <w:smallCaps w:val="false"/>
        </w:rPr>
      </w:pPr>
      <w:r>
        <w:rPr>
          <w:caps w:val="false"/>
          <w:smallCaps w:val="false"/>
        </w:rPr>
        <w:t> </w:t>
      </w:r>
    </w:p>
    <w:tbl>
      <w:tblPr>
        <w:tblW w:w="2755" w:type="dxa"/>
        <w:jc w:val="left"/>
        <w:tblInd w:w="0" w:type="dxa"/>
        <w:tblLayout w:type="fixed"/>
        <w:tblCellMar>
          <w:top w:w="0" w:type="dxa"/>
          <w:left w:w="0" w:type="dxa"/>
          <w:bottom w:w="0" w:type="dxa"/>
          <w:right w:w="0" w:type="dxa"/>
        </w:tblCellMar>
      </w:tblPr>
      <w:tblGrid>
        <w:gridCol w:w="75"/>
        <w:gridCol w:w="170"/>
        <w:gridCol w:w="251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2510" w:type="dxa"/>
            <w:tcBorders/>
            <w:vAlign w:val="center"/>
          </w:tcPr>
          <w:p>
            <w:pPr>
              <w:pStyle w:val="TableContents"/>
              <w:bidi w:val="0"/>
              <w:spacing w:before="0" w:after="283"/>
              <w:jc w:val="both"/>
              <w:rPr>
                <w:sz w:val="20"/>
              </w:rPr>
            </w:pPr>
            <w:r>
              <w:rPr>
                <w:sz w:val="20"/>
              </w:rPr>
              <w:t>incur additional indebtedness;</w:t>
            </w:r>
          </w:p>
        </w:tc>
      </w:tr>
    </w:tbl>
    <w:p>
      <w:pPr>
        <w:pStyle w:val="TextBody"/>
        <w:bidi w:val="0"/>
        <w:spacing w:before="0" w:after="0"/>
        <w:ind w:left="0" w:right="0" w:hanging="0"/>
        <w:jc w:val="left"/>
        <w:rPr>
          <w:caps w:val="false"/>
          <w:smallCaps w:val="false"/>
        </w:rPr>
      </w:pPr>
      <w:r>
        <w:rPr>
          <w:caps w:val="false"/>
          <w:smallCaps w:val="false"/>
        </w:rPr>
        <w:t> </w:t>
      </w:r>
    </w:p>
    <w:tbl>
      <w:tblPr>
        <w:tblW w:w="2440" w:type="dxa"/>
        <w:jc w:val="left"/>
        <w:tblInd w:w="0" w:type="dxa"/>
        <w:tblLayout w:type="fixed"/>
        <w:tblCellMar>
          <w:top w:w="0" w:type="dxa"/>
          <w:left w:w="0" w:type="dxa"/>
          <w:bottom w:w="0" w:type="dxa"/>
          <w:right w:w="0" w:type="dxa"/>
        </w:tblCellMar>
      </w:tblPr>
      <w:tblGrid>
        <w:gridCol w:w="75"/>
        <w:gridCol w:w="170"/>
        <w:gridCol w:w="219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2195" w:type="dxa"/>
            <w:tcBorders/>
            <w:vAlign w:val="center"/>
          </w:tcPr>
          <w:p>
            <w:pPr>
              <w:pStyle w:val="TableContents"/>
              <w:bidi w:val="0"/>
              <w:spacing w:before="0" w:after="283"/>
              <w:jc w:val="both"/>
              <w:rPr>
                <w:sz w:val="20"/>
              </w:rPr>
            </w:pPr>
            <w:r>
              <w:rPr>
                <w:sz w:val="20"/>
              </w:rPr>
              <w:t>issue additional securities;</w:t>
            </w:r>
          </w:p>
        </w:tc>
      </w:tr>
    </w:tbl>
    <w:p>
      <w:pPr>
        <w:pStyle w:val="TextBody"/>
        <w:bidi w:val="0"/>
        <w:spacing w:before="0" w:after="0"/>
        <w:ind w:left="0" w:right="0" w:hanging="0"/>
        <w:jc w:val="left"/>
        <w:rPr>
          <w:caps w:val="false"/>
          <w:smallCaps w:val="false"/>
        </w:rPr>
      </w:pPr>
      <w:r>
        <w:rPr>
          <w:caps w:val="false"/>
          <w:smallCaps w:val="false"/>
        </w:rPr>
        <w:t> </w:t>
      </w:r>
    </w:p>
    <w:tbl>
      <w:tblPr>
        <w:tblW w:w="1255" w:type="dxa"/>
        <w:jc w:val="left"/>
        <w:tblInd w:w="0" w:type="dxa"/>
        <w:tblLayout w:type="fixed"/>
        <w:tblCellMar>
          <w:top w:w="0" w:type="dxa"/>
          <w:left w:w="0" w:type="dxa"/>
          <w:bottom w:w="0" w:type="dxa"/>
          <w:right w:w="0" w:type="dxa"/>
        </w:tblCellMar>
      </w:tblPr>
      <w:tblGrid>
        <w:gridCol w:w="75"/>
        <w:gridCol w:w="170"/>
        <w:gridCol w:w="101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1010" w:type="dxa"/>
            <w:tcBorders/>
            <w:vAlign w:val="center"/>
          </w:tcPr>
          <w:p>
            <w:pPr>
              <w:pStyle w:val="TableContents"/>
              <w:bidi w:val="0"/>
              <w:spacing w:before="0" w:after="283"/>
              <w:jc w:val="both"/>
              <w:rPr>
                <w:sz w:val="20"/>
              </w:rPr>
            </w:pPr>
            <w:r>
              <w:rPr>
                <w:sz w:val="20"/>
              </w:rPr>
              <w:t>create liens;</w:t>
            </w:r>
          </w:p>
        </w:tc>
      </w:tr>
    </w:tbl>
    <w:p>
      <w:pPr>
        <w:pStyle w:val="TextBody"/>
        <w:bidi w:val="0"/>
        <w:spacing w:before="0" w:after="0"/>
        <w:ind w:left="0" w:right="0" w:hanging="0"/>
        <w:jc w:val="left"/>
        <w:rPr>
          <w:caps w:val="false"/>
          <w:smallCaps w:val="false"/>
        </w:rPr>
      </w:pPr>
      <w:r>
        <w:rPr>
          <w:caps w:val="false"/>
          <w:smallCaps w:val="false"/>
        </w:rPr>
        <w:t> </w:t>
      </w:r>
    </w:p>
    <w:tbl>
      <w:tblPr>
        <w:tblW w:w="9085" w:type="dxa"/>
        <w:jc w:val="left"/>
        <w:tblInd w:w="0" w:type="dxa"/>
        <w:tblLayout w:type="fixed"/>
        <w:tblCellMar>
          <w:top w:w="0" w:type="dxa"/>
          <w:left w:w="0" w:type="dxa"/>
          <w:bottom w:w="0" w:type="dxa"/>
          <w:right w:w="0" w:type="dxa"/>
        </w:tblCellMar>
      </w:tblPr>
      <w:tblGrid>
        <w:gridCol w:w="75"/>
        <w:gridCol w:w="170"/>
        <w:gridCol w:w="884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8840" w:type="dxa"/>
            <w:tcBorders/>
            <w:vAlign w:val="center"/>
          </w:tcPr>
          <w:p>
            <w:pPr>
              <w:pStyle w:val="TableContents"/>
              <w:bidi w:val="0"/>
              <w:spacing w:before="0" w:after="283"/>
              <w:jc w:val="both"/>
              <w:rPr>
                <w:sz w:val="20"/>
              </w:rPr>
            </w:pPr>
            <w:r>
              <w:rPr>
                <w:sz w:val="20"/>
              </w:rPr>
              <w:t>pay dividends and make distributions in respect of our capital stock and the capital stock of our subsidiaries;</w:t>
            </w:r>
          </w:p>
        </w:tc>
      </w:tr>
    </w:tbl>
    <w:p>
      <w:pPr>
        <w:pStyle w:val="TextBody"/>
        <w:bidi w:val="0"/>
        <w:spacing w:before="0" w:after="0"/>
        <w:ind w:left="0" w:right="0" w:hanging="0"/>
        <w:jc w:val="left"/>
        <w:rPr>
          <w:caps w:val="false"/>
          <w:smallCaps w:val="false"/>
        </w:rPr>
      </w:pPr>
      <w:r>
        <w:rPr>
          <w:caps w:val="false"/>
          <w:smallCaps w:val="false"/>
        </w:rPr>
        <w:t> </w:t>
      </w:r>
    </w:p>
    <w:tbl>
      <w:tblPr>
        <w:tblW w:w="2005" w:type="dxa"/>
        <w:jc w:val="left"/>
        <w:tblInd w:w="0" w:type="dxa"/>
        <w:tblLayout w:type="fixed"/>
        <w:tblCellMar>
          <w:top w:w="0" w:type="dxa"/>
          <w:left w:w="0" w:type="dxa"/>
          <w:bottom w:w="0" w:type="dxa"/>
          <w:right w:w="0" w:type="dxa"/>
        </w:tblCellMar>
      </w:tblPr>
      <w:tblGrid>
        <w:gridCol w:w="75"/>
        <w:gridCol w:w="170"/>
        <w:gridCol w:w="17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1760" w:type="dxa"/>
            <w:tcBorders/>
            <w:vAlign w:val="center"/>
          </w:tcPr>
          <w:p>
            <w:pPr>
              <w:pStyle w:val="TableContents"/>
              <w:bidi w:val="0"/>
              <w:spacing w:before="0" w:after="283"/>
              <w:jc w:val="both"/>
              <w:rPr>
                <w:sz w:val="20"/>
              </w:rPr>
            </w:pPr>
            <w:r>
              <w:rPr>
                <w:sz w:val="20"/>
              </w:rPr>
              <w:t>redeem capital stock;</w:t>
            </w:r>
          </w:p>
        </w:tc>
      </w:tr>
    </w:tbl>
    <w:p>
      <w:pPr>
        <w:pStyle w:val="TextBody"/>
        <w:bidi w:val="0"/>
        <w:spacing w:before="0" w:after="0"/>
        <w:ind w:left="0" w:right="0" w:hanging="0"/>
        <w:jc w:val="left"/>
        <w:rPr>
          <w:caps w:val="false"/>
          <w:smallCaps w:val="false"/>
        </w:rPr>
      </w:pPr>
      <w:r>
        <w:rPr>
          <w:caps w:val="false"/>
          <w:smallCaps w:val="false"/>
        </w:rPr>
        <w:t> </w:t>
      </w:r>
    </w:p>
    <w:tbl>
      <w:tblPr>
        <w:tblW w:w="8320" w:type="dxa"/>
        <w:jc w:val="left"/>
        <w:tblInd w:w="0" w:type="dxa"/>
        <w:tblLayout w:type="fixed"/>
        <w:tblCellMar>
          <w:top w:w="0" w:type="dxa"/>
          <w:left w:w="0" w:type="dxa"/>
          <w:bottom w:w="0" w:type="dxa"/>
          <w:right w:w="0" w:type="dxa"/>
        </w:tblCellMar>
      </w:tblPr>
      <w:tblGrid>
        <w:gridCol w:w="75"/>
        <w:gridCol w:w="170"/>
        <w:gridCol w:w="807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8075" w:type="dxa"/>
            <w:tcBorders/>
            <w:vAlign w:val="center"/>
          </w:tcPr>
          <w:p>
            <w:pPr>
              <w:pStyle w:val="TableContents"/>
              <w:bidi w:val="0"/>
              <w:spacing w:before="0" w:after="283"/>
              <w:jc w:val="both"/>
              <w:rPr>
                <w:sz w:val="20"/>
              </w:rPr>
            </w:pPr>
            <w:r>
              <w:rPr>
                <w:sz w:val="20"/>
              </w:rPr>
              <w:t>place restrictions on our subsidiaries’ ability to pay dividends, make distributions or transfer assets;</w:t>
            </w:r>
          </w:p>
        </w:tc>
      </w:tr>
    </w:tbl>
    <w:p>
      <w:pPr>
        <w:pStyle w:val="TextBody"/>
        <w:bidi w:val="0"/>
        <w:spacing w:before="0" w:after="0"/>
        <w:ind w:left="0" w:right="0" w:hanging="0"/>
        <w:jc w:val="left"/>
        <w:rPr>
          <w:caps w:val="false"/>
          <w:smallCaps w:val="false"/>
        </w:rPr>
      </w:pPr>
      <w:r>
        <w:rPr>
          <w:caps w:val="false"/>
          <w:smallCaps w:val="false"/>
        </w:rPr>
        <w:t> </w:t>
      </w:r>
    </w:p>
    <w:tbl>
      <w:tblPr>
        <w:tblW w:w="4090" w:type="dxa"/>
        <w:jc w:val="left"/>
        <w:tblInd w:w="0" w:type="dxa"/>
        <w:tblLayout w:type="fixed"/>
        <w:tblCellMar>
          <w:top w:w="0" w:type="dxa"/>
          <w:left w:w="0" w:type="dxa"/>
          <w:bottom w:w="0" w:type="dxa"/>
          <w:right w:w="0" w:type="dxa"/>
        </w:tblCellMar>
      </w:tblPr>
      <w:tblGrid>
        <w:gridCol w:w="75"/>
        <w:gridCol w:w="170"/>
        <w:gridCol w:w="384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3845" w:type="dxa"/>
            <w:tcBorders/>
            <w:vAlign w:val="center"/>
          </w:tcPr>
          <w:p>
            <w:pPr>
              <w:pStyle w:val="TableContents"/>
              <w:bidi w:val="0"/>
              <w:spacing w:before="0" w:after="283"/>
              <w:jc w:val="both"/>
              <w:rPr>
                <w:sz w:val="20"/>
              </w:rPr>
            </w:pPr>
            <w:r>
              <w:rPr>
                <w:sz w:val="20"/>
              </w:rPr>
              <w:t>make investments or other restricted payments;</w:t>
            </w:r>
          </w:p>
        </w:tc>
      </w:tr>
    </w:tbl>
    <w:p>
      <w:pPr>
        <w:pStyle w:val="TextBody"/>
        <w:bidi w:val="0"/>
        <w:spacing w:before="0" w:after="0"/>
        <w:ind w:left="0" w:right="0" w:hanging="0"/>
        <w:jc w:val="left"/>
        <w:rPr>
          <w:caps w:val="false"/>
          <w:smallCaps w:val="false"/>
        </w:rPr>
      </w:pPr>
      <w:r>
        <w:rPr>
          <w:caps w:val="false"/>
          <w:smallCaps w:val="false"/>
        </w:rPr>
        <w:t> </w:t>
      </w:r>
    </w:p>
    <w:tbl>
      <w:tblPr>
        <w:tblW w:w="3040" w:type="dxa"/>
        <w:jc w:val="left"/>
        <w:tblInd w:w="0" w:type="dxa"/>
        <w:tblLayout w:type="fixed"/>
        <w:tblCellMar>
          <w:top w:w="0" w:type="dxa"/>
          <w:left w:w="0" w:type="dxa"/>
          <w:bottom w:w="0" w:type="dxa"/>
          <w:right w:w="0" w:type="dxa"/>
        </w:tblCellMar>
      </w:tblPr>
      <w:tblGrid>
        <w:gridCol w:w="75"/>
        <w:gridCol w:w="170"/>
        <w:gridCol w:w="279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2795" w:type="dxa"/>
            <w:tcBorders/>
            <w:vAlign w:val="center"/>
          </w:tcPr>
          <w:p>
            <w:pPr>
              <w:pStyle w:val="TableContents"/>
              <w:bidi w:val="0"/>
              <w:spacing w:before="0" w:after="283"/>
              <w:jc w:val="both"/>
              <w:rPr>
                <w:sz w:val="20"/>
              </w:rPr>
            </w:pPr>
            <w:r>
              <w:rPr>
                <w:sz w:val="20"/>
              </w:rPr>
              <w:t>sell or otherwise dispose of assets;</w:t>
            </w:r>
          </w:p>
        </w:tc>
      </w:tr>
    </w:tbl>
    <w:p>
      <w:pPr>
        <w:pStyle w:val="TextBody"/>
        <w:bidi w:val="0"/>
        <w:spacing w:before="0" w:after="0"/>
        <w:ind w:left="0" w:right="0" w:hanging="0"/>
        <w:jc w:val="left"/>
        <w:rPr>
          <w:caps w:val="false"/>
          <w:smallCaps w:val="false"/>
        </w:rPr>
      </w:pPr>
      <w:r>
        <w:rPr>
          <w:caps w:val="false"/>
          <w:smallCaps w:val="false"/>
        </w:rPr>
        <w:t> </w:t>
      </w:r>
    </w:p>
    <w:tbl>
      <w:tblPr>
        <w:tblW w:w="3355" w:type="dxa"/>
        <w:jc w:val="left"/>
        <w:tblInd w:w="0" w:type="dxa"/>
        <w:tblLayout w:type="fixed"/>
        <w:tblCellMar>
          <w:top w:w="0" w:type="dxa"/>
          <w:left w:w="0" w:type="dxa"/>
          <w:bottom w:w="0" w:type="dxa"/>
          <w:right w:w="0" w:type="dxa"/>
        </w:tblCellMar>
      </w:tblPr>
      <w:tblGrid>
        <w:gridCol w:w="75"/>
        <w:gridCol w:w="170"/>
        <w:gridCol w:w="311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3110" w:type="dxa"/>
            <w:tcBorders/>
            <w:vAlign w:val="center"/>
          </w:tcPr>
          <w:p>
            <w:pPr>
              <w:pStyle w:val="TableContents"/>
              <w:bidi w:val="0"/>
              <w:spacing w:before="0" w:after="283"/>
              <w:jc w:val="both"/>
              <w:rPr>
                <w:sz w:val="20"/>
              </w:rPr>
            </w:pPr>
            <w:r>
              <w:rPr>
                <w:sz w:val="20"/>
              </w:rPr>
              <w:t>enter into sale-leaseback transactions;</w:t>
            </w:r>
          </w:p>
        </w:tc>
      </w:tr>
    </w:tbl>
    <w:p>
      <w:pPr>
        <w:pStyle w:val="TextBody"/>
        <w:bidi w:val="0"/>
        <w:spacing w:before="0" w:after="0"/>
        <w:ind w:left="0" w:right="0" w:hanging="0"/>
        <w:jc w:val="left"/>
        <w:rPr>
          <w:caps w:val="false"/>
          <w:smallCaps w:val="false"/>
        </w:rPr>
      </w:pPr>
      <w:r>
        <w:rPr>
          <w:caps w:val="false"/>
          <w:smallCaps w:val="false"/>
        </w:rPr>
        <w:t> </w:t>
      </w:r>
    </w:p>
    <w:tbl>
      <w:tblPr>
        <w:tblW w:w="4735" w:type="dxa"/>
        <w:jc w:val="left"/>
        <w:tblInd w:w="0" w:type="dxa"/>
        <w:tblLayout w:type="fixed"/>
        <w:tblCellMar>
          <w:top w:w="0" w:type="dxa"/>
          <w:left w:w="0" w:type="dxa"/>
          <w:bottom w:w="0" w:type="dxa"/>
          <w:right w:w="0" w:type="dxa"/>
        </w:tblCellMar>
      </w:tblPr>
      <w:tblGrid>
        <w:gridCol w:w="75"/>
        <w:gridCol w:w="170"/>
        <w:gridCol w:w="449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4490" w:type="dxa"/>
            <w:tcBorders/>
            <w:vAlign w:val="center"/>
          </w:tcPr>
          <w:p>
            <w:pPr>
              <w:pStyle w:val="TableContents"/>
              <w:bidi w:val="0"/>
              <w:spacing w:before="0" w:after="283"/>
              <w:jc w:val="both"/>
              <w:rPr>
                <w:sz w:val="20"/>
              </w:rPr>
            </w:pPr>
            <w:r>
              <w:rPr>
                <w:sz w:val="20"/>
              </w:rPr>
              <w:t>engage in transactions with stockholders and affiliates;</w:t>
            </w:r>
          </w:p>
        </w:tc>
      </w:tr>
    </w:tbl>
    <w:p>
      <w:pPr>
        <w:pStyle w:val="TextBody"/>
        <w:bidi w:val="0"/>
        <w:spacing w:before="0" w:after="0"/>
        <w:ind w:left="0" w:right="0" w:hanging="0"/>
        <w:jc w:val="left"/>
        <w:rPr>
          <w:caps w:val="false"/>
          <w:smallCaps w:val="false"/>
        </w:rPr>
      </w:pPr>
      <w:r>
        <w:rPr>
          <w:caps w:val="false"/>
          <w:smallCaps w:val="false"/>
        </w:rPr>
        <w:t> </w:t>
      </w:r>
    </w:p>
    <w:tbl>
      <w:tblPr>
        <w:tblW w:w="3295" w:type="dxa"/>
        <w:jc w:val="left"/>
        <w:tblInd w:w="0" w:type="dxa"/>
        <w:tblLayout w:type="fixed"/>
        <w:tblCellMar>
          <w:top w:w="0" w:type="dxa"/>
          <w:left w:w="0" w:type="dxa"/>
          <w:bottom w:w="0" w:type="dxa"/>
          <w:right w:w="0" w:type="dxa"/>
        </w:tblCellMar>
      </w:tblPr>
      <w:tblGrid>
        <w:gridCol w:w="75"/>
        <w:gridCol w:w="170"/>
        <w:gridCol w:w="305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3050" w:type="dxa"/>
            <w:tcBorders/>
            <w:vAlign w:val="center"/>
          </w:tcPr>
          <w:p>
            <w:pPr>
              <w:pStyle w:val="TableContents"/>
              <w:bidi w:val="0"/>
              <w:spacing w:before="0" w:after="283"/>
              <w:jc w:val="both"/>
              <w:rPr>
                <w:sz w:val="20"/>
              </w:rPr>
            </w:pPr>
            <w:r>
              <w:rPr>
                <w:sz w:val="20"/>
              </w:rPr>
              <w:t>issue or sell stock of our subsidiaries;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9 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2905" w:type="dxa"/>
        <w:jc w:val="left"/>
        <w:tblInd w:w="0" w:type="dxa"/>
        <w:tblLayout w:type="fixed"/>
        <w:tblCellMar>
          <w:top w:w="0" w:type="dxa"/>
          <w:left w:w="0" w:type="dxa"/>
          <w:bottom w:w="0" w:type="dxa"/>
          <w:right w:w="0" w:type="dxa"/>
        </w:tblCellMar>
      </w:tblPr>
      <w:tblGrid>
        <w:gridCol w:w="75"/>
        <w:gridCol w:w="170"/>
        <w:gridCol w:w="26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2660" w:type="dxa"/>
            <w:tcBorders/>
            <w:vAlign w:val="center"/>
          </w:tcPr>
          <w:p>
            <w:pPr>
              <w:pStyle w:val="TableContents"/>
              <w:bidi w:val="0"/>
              <w:spacing w:before="0" w:after="283"/>
              <w:jc w:val="both"/>
              <w:rPr>
                <w:sz w:val="20"/>
              </w:rPr>
            </w:pPr>
            <w:r>
              <w:rPr>
                <w:sz w:val="20"/>
              </w:rPr>
              <w:t>effect a consolidation or merger;</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sz w:val="20"/>
              </w:rPr>
            </w:pPr>
            <w:r>
              <w:rPr>
                <w:sz w:val="20"/>
              </w:rPr>
              <w:t>whether the indenture will require us to maintain any interest coverage, fixed charge, cash flow-based, asset-based, or other financial ratios;</w:t>
            </w:r>
          </w:p>
        </w:tc>
      </w:tr>
    </w:tbl>
    <w:p>
      <w:pPr>
        <w:pStyle w:val="TextBody"/>
        <w:bidi w:val="0"/>
        <w:spacing w:before="0" w:after="0"/>
        <w:ind w:left="0" w:right="0" w:hanging="0"/>
        <w:jc w:val="left"/>
        <w:rPr>
          <w:caps w:val="false"/>
          <w:smallCaps w:val="false"/>
        </w:rPr>
      </w:pPr>
      <w:r>
        <w:rPr>
          <w:caps w:val="false"/>
          <w:smallCaps w:val="false"/>
        </w:rPr>
        <w:t> </w:t>
      </w:r>
    </w:p>
    <w:tbl>
      <w:tblPr>
        <w:tblW w:w="4165" w:type="dxa"/>
        <w:jc w:val="left"/>
        <w:tblInd w:w="0" w:type="dxa"/>
        <w:tblLayout w:type="fixed"/>
        <w:tblCellMar>
          <w:top w:w="0" w:type="dxa"/>
          <w:left w:w="0" w:type="dxa"/>
          <w:bottom w:w="0" w:type="dxa"/>
          <w:right w:w="0" w:type="dxa"/>
        </w:tblCellMar>
      </w:tblPr>
      <w:tblGrid>
        <w:gridCol w:w="75"/>
        <w:gridCol w:w="170"/>
        <w:gridCol w:w="392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3920" w:type="dxa"/>
            <w:tcBorders/>
            <w:vAlign w:val="center"/>
          </w:tcPr>
          <w:p>
            <w:pPr>
              <w:pStyle w:val="TableContents"/>
              <w:bidi w:val="0"/>
              <w:spacing w:before="0" w:after="283"/>
              <w:jc w:val="both"/>
              <w:rPr>
                <w:sz w:val="20"/>
              </w:rPr>
            </w:pPr>
            <w:r>
              <w:rPr>
                <w:sz w:val="20"/>
              </w:rPr>
              <w:t>information describing any book-entry features;</w:t>
            </w:r>
          </w:p>
        </w:tc>
      </w:tr>
    </w:tbl>
    <w:p>
      <w:pPr>
        <w:pStyle w:val="TextBody"/>
        <w:bidi w:val="0"/>
        <w:spacing w:before="0" w:after="0"/>
        <w:ind w:left="0" w:right="0" w:hanging="0"/>
        <w:jc w:val="left"/>
        <w:rPr>
          <w:caps w:val="false"/>
          <w:smallCaps w:val="false"/>
        </w:rPr>
      </w:pPr>
      <w:r>
        <w:rPr>
          <w:caps w:val="false"/>
          <w:smallCaps w:val="false"/>
        </w:rPr>
        <w:t> </w:t>
      </w:r>
    </w:p>
    <w:tbl>
      <w:tblPr>
        <w:tblW w:w="5980" w:type="dxa"/>
        <w:jc w:val="left"/>
        <w:tblInd w:w="0" w:type="dxa"/>
        <w:tblLayout w:type="fixed"/>
        <w:tblCellMar>
          <w:top w:w="0" w:type="dxa"/>
          <w:left w:w="0" w:type="dxa"/>
          <w:bottom w:w="0" w:type="dxa"/>
          <w:right w:w="0" w:type="dxa"/>
        </w:tblCellMar>
      </w:tblPr>
      <w:tblGrid>
        <w:gridCol w:w="75"/>
        <w:gridCol w:w="170"/>
        <w:gridCol w:w="573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5735" w:type="dxa"/>
            <w:tcBorders/>
            <w:vAlign w:val="center"/>
          </w:tcPr>
          <w:p>
            <w:pPr>
              <w:pStyle w:val="TableContents"/>
              <w:bidi w:val="0"/>
              <w:spacing w:before="0" w:after="283"/>
              <w:jc w:val="both"/>
              <w:rPr>
                <w:sz w:val="20"/>
              </w:rPr>
            </w:pPr>
            <w:r>
              <w:rPr>
                <w:sz w:val="20"/>
              </w:rPr>
              <w:t>provisions for a sinking fund purchase or other analogous fund, if any;</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sz w:val="20"/>
              </w:rPr>
            </w:pPr>
            <w:r>
              <w:rPr>
                <w:sz w:val="20"/>
              </w:rPr>
              <w:t>whether the debt securities are to be offered at a price such that they will be deemed to be offered at an “original issue discount” as defined in paragraph (a) of Section 1273 of the Internal Revenue Code;</w:t>
            </w:r>
          </w:p>
        </w:tc>
      </w:tr>
    </w:tbl>
    <w:p>
      <w:pPr>
        <w:pStyle w:val="TextBody"/>
        <w:bidi w:val="0"/>
        <w:spacing w:before="0" w:after="0"/>
        <w:ind w:left="0" w:right="0" w:hanging="0"/>
        <w:jc w:val="left"/>
        <w:rPr>
          <w:caps w:val="false"/>
          <w:smallCaps w:val="false"/>
        </w:rPr>
      </w:pPr>
      <w:r>
        <w:rPr>
          <w:caps w:val="false"/>
          <w:smallCaps w:val="false"/>
        </w:rPr>
        <w:t> </w:t>
      </w:r>
    </w:p>
    <w:tbl>
      <w:tblPr>
        <w:tblW w:w="4720" w:type="dxa"/>
        <w:jc w:val="left"/>
        <w:tblInd w:w="0" w:type="dxa"/>
        <w:tblLayout w:type="fixed"/>
        <w:tblCellMar>
          <w:top w:w="0" w:type="dxa"/>
          <w:left w:w="0" w:type="dxa"/>
          <w:bottom w:w="0" w:type="dxa"/>
          <w:right w:w="0" w:type="dxa"/>
        </w:tblCellMar>
      </w:tblPr>
      <w:tblGrid>
        <w:gridCol w:w="75"/>
        <w:gridCol w:w="170"/>
        <w:gridCol w:w="447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4475" w:type="dxa"/>
            <w:tcBorders/>
            <w:vAlign w:val="center"/>
          </w:tcPr>
          <w:p>
            <w:pPr>
              <w:pStyle w:val="TableContents"/>
              <w:bidi w:val="0"/>
              <w:spacing w:before="0" w:after="283"/>
              <w:jc w:val="both"/>
              <w:rPr>
                <w:sz w:val="20"/>
              </w:rPr>
            </w:pPr>
            <w:r>
              <w:rPr>
                <w:sz w:val="20"/>
              </w:rPr>
              <w:t>the procedures for any auction and remarketing, if any;</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sz w:val="20"/>
              </w:rPr>
            </w:pPr>
            <w:r>
              <w:rPr>
                <w:sz w:val="20"/>
              </w:rPr>
              <w:t>the denominations in which we will issue the series of debt securities, if other than denominations of $1,000 and any integral multiple thereof;</w:t>
            </w:r>
          </w:p>
        </w:tc>
      </w:tr>
    </w:tbl>
    <w:p>
      <w:pPr>
        <w:pStyle w:val="TextBody"/>
        <w:bidi w:val="0"/>
        <w:spacing w:before="0" w:after="0"/>
        <w:ind w:left="0" w:right="0" w:hanging="0"/>
        <w:jc w:val="left"/>
        <w:rPr>
          <w:caps w:val="false"/>
          <w:smallCaps w:val="false"/>
        </w:rPr>
      </w:pPr>
      <w:r>
        <w:rPr>
          <w:caps w:val="false"/>
          <w:smallCaps w:val="false"/>
        </w:rPr>
        <w:t> </w:t>
      </w:r>
    </w:p>
    <w:tbl>
      <w:tblPr>
        <w:tblW w:w="8050" w:type="dxa"/>
        <w:jc w:val="left"/>
        <w:tblInd w:w="0" w:type="dxa"/>
        <w:tblLayout w:type="fixed"/>
        <w:tblCellMar>
          <w:top w:w="0" w:type="dxa"/>
          <w:left w:w="0" w:type="dxa"/>
          <w:bottom w:w="0" w:type="dxa"/>
          <w:right w:w="0" w:type="dxa"/>
        </w:tblCellMar>
      </w:tblPr>
      <w:tblGrid>
        <w:gridCol w:w="75"/>
        <w:gridCol w:w="170"/>
        <w:gridCol w:w="780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7805" w:type="dxa"/>
            <w:tcBorders/>
            <w:vAlign w:val="center"/>
          </w:tcPr>
          <w:p>
            <w:pPr>
              <w:pStyle w:val="TableContents"/>
              <w:bidi w:val="0"/>
              <w:spacing w:before="0" w:after="283"/>
              <w:jc w:val="both"/>
              <w:rPr>
                <w:sz w:val="20"/>
              </w:rPr>
            </w:pPr>
            <w:r>
              <w:rPr>
                <w:sz w:val="20"/>
              </w:rPr>
              <w:t>if other than dollars, the currency in which the series of debt securities will be denominated; and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sz w:val="20"/>
              </w:rPr>
            </w:pPr>
            <w:r>
              <w:rPr>
                <w:sz w:val="20"/>
              </w:rPr>
              <w:t>any other specific terms, preferences, rights or limitations of, or restrictions on, the debt securities, including any events of default that are in addition to those described in this prospectus or any covenants provided with respect to the debt securities that are in addition to those described above, and any terms that may be required by us or advisable under applicable laws or regulations or advisable in connection with the marketing of the debt securities.</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Conversion or Exchange Rights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will set forth in the prospectus supplement the terms on which a series of debt securities may be convertible into or exchangeable for Common Stock, preferred shares, or other securities of ours or a third party, including the conversion or exchange rate, as applicable, or how it will be calculated, and the applicable conversion or exchange period. We will include provisions as to whether conversion or exchange is mandatory, at the option of the holder or at our option. We may include provisions pursuant to which the number of our securities or the securities of a third party that the holders of the series of debt securities receive upon conversion or exchange would, under the circumstances described in those provisions, be subject to adjustment, or pursuant to which those holders would, under those circumstances, receive other property upon conversion or exchange, for example in the event of our merger or consolidation with another entity.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Consolidation, Merger or Sale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indentures in the forms initially filed as exhibits to the registration statement of which this prospectus is a part do not contain any covenant that restricts our ability to merge or consolidate, or sell, convey, transfer, or otherwise dispose of all or substantially all of our assets. However, any successor of ours or the acquirer of such assets must assume all of our obligations under the indentures and the debt securities.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debt securities are convertible for our other securities, the person with whom we consolidate or merge or to whom we sell all of our property must make provisions for the conversion of the debt securities into securities that the holders of the debt securities would have received if they had converted the debt securities before the consolidation, merger or sale.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Events of Default Under the Indenture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are events of default under the indentures in the forms initially filed as exhibits to the registration statement with respect to any series of debt securities that we may issue:</w:t>
      </w:r>
    </w:p>
    <w:p>
      <w:pPr>
        <w:pStyle w:val="TextBody"/>
        <w:bidi w:val="0"/>
        <w:spacing w:before="0" w:after="0"/>
        <w:ind w:left="0" w:right="0" w:firstLine="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sz w:val="20"/>
              </w:rPr>
            </w:pPr>
            <w:r>
              <w:rPr>
                <w:sz w:val="20"/>
              </w:rPr>
              <w:t>if we fail to pay interest when due and payable and our failure continues for 90 days and the time for payment has not been extended or deferred;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sz w:val="20"/>
              </w:rPr>
            </w:pPr>
            <w:r>
              <w:rPr>
                <w:sz w:val="20"/>
              </w:rPr>
              <w:t>if we fail to pay the principal, sinking fund payment or premium, if any, when due and payable and the time for payment has not been extended or delayed;</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10 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sz w:val="20"/>
              </w:rPr>
            </w:pPr>
            <w:r>
              <w:rPr>
                <w:sz w:val="20"/>
              </w:rPr>
              <w:t>if we fail to observe or perform any other covenant contained in the debt securities or the indentures, other than a covenant specifically relating to another series of debt securities, and our failure continues for 90 days after we receive notice from the debenture trustee or holders of at least 25% in aggregate principal amount of the outstanding debt securities of the applicable series; and</w:t>
            </w:r>
          </w:p>
        </w:tc>
      </w:tr>
    </w:tbl>
    <w:p>
      <w:pPr>
        <w:pStyle w:val="TextBody"/>
        <w:bidi w:val="0"/>
        <w:spacing w:before="0" w:after="0"/>
        <w:ind w:left="0" w:right="0" w:hanging="0"/>
        <w:jc w:val="left"/>
        <w:rPr>
          <w:caps w:val="false"/>
          <w:smallCaps w:val="false"/>
        </w:rPr>
      </w:pPr>
      <w:r>
        <w:rPr>
          <w:caps w:val="false"/>
          <w:smallCaps w:val="false"/>
        </w:rPr>
        <w:t> </w:t>
      </w:r>
    </w:p>
    <w:tbl>
      <w:tblPr>
        <w:tblW w:w="5868" w:type="dxa"/>
        <w:jc w:val="left"/>
        <w:tblInd w:w="0" w:type="dxa"/>
        <w:tblLayout w:type="fixed"/>
        <w:tblCellMar>
          <w:top w:w="0" w:type="dxa"/>
          <w:left w:w="0" w:type="dxa"/>
          <w:bottom w:w="0" w:type="dxa"/>
          <w:right w:w="0" w:type="dxa"/>
        </w:tblCellMar>
      </w:tblPr>
      <w:tblGrid>
        <w:gridCol w:w="38"/>
        <w:gridCol w:w="170"/>
        <w:gridCol w:w="566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5660" w:type="dxa"/>
            <w:tcBorders/>
            <w:vAlign w:val="center"/>
          </w:tcPr>
          <w:p>
            <w:pPr>
              <w:pStyle w:val="TableContents"/>
              <w:bidi w:val="0"/>
              <w:spacing w:before="0" w:after="283"/>
              <w:jc w:val="both"/>
              <w:rPr>
                <w:sz w:val="20"/>
              </w:rPr>
            </w:pPr>
            <w:r>
              <w:rPr>
                <w:sz w:val="20"/>
              </w:rPr>
              <w:t>if specified events of bankruptcy, insolvency or reorganization occur.</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 event of default with respect to debt securities of any series occurs and is continuing, other than an event of default specified in the last bullet point above, the debenture trustee or the holders of at least 25% in aggregate principal amount of the outstanding debt securities of that series, by notice to us in writing, and to the debenture trustee if notice is given by such holders, may declare the unpaid principal of, premium, if any, and accrued interest, if any, due and payable immediately. If an event of default specified in the last bullet point above occurs with respect to us, the principal amount of and accrued interest, if any, of each issue of debt securities then outstanding shall be due and payable without any notice or other action on the part of the debenture trustee or any holder.</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holders of a majority in principal amount of the outstanding debt securities of an affected series may waive any default or event of default with respect to the series and its consequences, except defaults or events of default regarding payment of principal, premium, if any, or interest, unless we have cured the default or event of default in accordance with the indenture. Any waiver shall cure the default or event of default.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Subject to the terms of the indentures, if an event of default under an indenture shall occur and be continuing, the debenture trustee will be under no obligation to exercise any of its rights or powers under such indenture at the request or direction of any of the holders of the applicable series of debt securities, unless such holders have offered the debenture trustee reasonable indemnity. The holders of a majority in principal amount of the outstanding debt securities of any series will have the right to direct the time, method and place of conducting any proceeding for any remedy available to the debenture trustee, or exercising any trust or power conferred on the debenture trustee, with respect to the debt securities of that series, provided that:</w:t>
      </w:r>
    </w:p>
    <w:p>
      <w:pPr>
        <w:pStyle w:val="TextBody"/>
        <w:bidi w:val="0"/>
        <w:spacing w:before="0" w:after="0"/>
        <w:ind w:left="0" w:right="0" w:firstLine="720"/>
        <w:jc w:val="both"/>
        <w:rPr>
          <w:caps w:val="false"/>
          <w:smallCaps w:val="false"/>
        </w:rPr>
      </w:pPr>
      <w:r>
        <w:rPr>
          <w:caps w:val="false"/>
          <w:smallCaps w:val="false"/>
        </w:rPr>
        <w:t> </w:t>
      </w:r>
    </w:p>
    <w:tbl>
      <w:tblPr>
        <w:tblW w:w="8238" w:type="dxa"/>
        <w:jc w:val="left"/>
        <w:tblInd w:w="0" w:type="dxa"/>
        <w:tblLayout w:type="fixed"/>
        <w:tblCellMar>
          <w:top w:w="0" w:type="dxa"/>
          <w:left w:w="0" w:type="dxa"/>
          <w:bottom w:w="0" w:type="dxa"/>
          <w:right w:w="0" w:type="dxa"/>
        </w:tblCellMar>
      </w:tblPr>
      <w:tblGrid>
        <w:gridCol w:w="38"/>
        <w:gridCol w:w="170"/>
        <w:gridCol w:w="803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8030" w:type="dxa"/>
            <w:tcBorders/>
            <w:vAlign w:val="center"/>
          </w:tcPr>
          <w:p>
            <w:pPr>
              <w:pStyle w:val="TableContents"/>
              <w:bidi w:val="0"/>
              <w:spacing w:before="0" w:after="283"/>
              <w:jc w:val="both"/>
              <w:rPr>
                <w:sz w:val="20"/>
              </w:rPr>
            </w:pPr>
            <w:r>
              <w:rPr>
                <w:sz w:val="20"/>
              </w:rPr>
              <w:t>the direction so given by the holder is not in conflict with any law or the applicable indenture; and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sz w:val="20"/>
              </w:rPr>
            </w:pPr>
            <w:r>
              <w:rPr>
                <w:sz w:val="20"/>
              </w:rPr>
              <w:t>subject to its duties under the Trust Indenture Act of 1939, the debenture trustee need not take any action that might involve it in personal liability or might be unduly prejudicial to the holders not involved in the proceeding.</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holder of the debt securities of any series will only have the right to institute a proceeding under the indentures or to appoint a receiver or trustee, or to seek other remedies if:</w:t>
      </w:r>
    </w:p>
    <w:p>
      <w:pPr>
        <w:pStyle w:val="TextBody"/>
        <w:bidi w:val="0"/>
        <w:spacing w:before="0" w:after="0"/>
        <w:ind w:left="0" w:right="0" w:firstLine="720"/>
        <w:jc w:val="both"/>
        <w:rPr>
          <w:caps w:val="false"/>
          <w:smallCaps w:val="false"/>
        </w:rPr>
      </w:pPr>
      <w:r>
        <w:rPr>
          <w:caps w:val="false"/>
          <w:smallCaps w:val="false"/>
        </w:rPr>
        <w:t> </w:t>
      </w:r>
    </w:p>
    <w:tbl>
      <w:tblPr>
        <w:tblW w:w="9768" w:type="dxa"/>
        <w:jc w:val="left"/>
        <w:tblInd w:w="0" w:type="dxa"/>
        <w:tblLayout w:type="fixed"/>
        <w:tblCellMar>
          <w:top w:w="0" w:type="dxa"/>
          <w:left w:w="0" w:type="dxa"/>
          <w:bottom w:w="0" w:type="dxa"/>
          <w:right w:w="0" w:type="dxa"/>
        </w:tblCellMar>
      </w:tblPr>
      <w:tblGrid>
        <w:gridCol w:w="38"/>
        <w:gridCol w:w="170"/>
        <w:gridCol w:w="956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560" w:type="dxa"/>
            <w:tcBorders/>
            <w:vAlign w:val="center"/>
          </w:tcPr>
          <w:p>
            <w:pPr>
              <w:pStyle w:val="TableContents"/>
              <w:bidi w:val="0"/>
              <w:spacing w:before="0" w:after="283"/>
              <w:jc w:val="both"/>
              <w:rPr>
                <w:sz w:val="20"/>
              </w:rPr>
            </w:pPr>
            <w:r>
              <w:rPr>
                <w:sz w:val="20"/>
              </w:rPr>
              <w:t>the holder has given written notice to the debenture trustee of a continuing event of default with respect to that series;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sz w:val="20"/>
              </w:rPr>
            </w:pPr>
            <w:r>
              <w:rPr>
                <w:sz w:val="20"/>
              </w:rPr>
              <w:t>the holders of at least 25% in aggregate principal amount of the outstanding debt securities of that series have made written request, and such holders have offered reasonable indemnity, to the debenture trustee to institute the proceeding as trustee; and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sz w:val="20"/>
              </w:rPr>
            </w:pPr>
            <w:r>
              <w:rPr>
                <w:sz w:val="20"/>
              </w:rPr>
              <w:t>the debenture trustee does not institute the proceeding and does not receive from the holders of a majority in aggregate principal amount of the outstanding debt securities of that series other conflicting directions within 90 days after the notice, request and offer.</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These limitations do not apply to a suit instituted by a holder of debt securities if we default in the payment of the principal, premium, if any, or interest on, the debt securities.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will periodically file statements with the debenture trustee regarding our compliance with specified covenants in the indentures.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11 </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Modification of Indenture; Waiver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and the debenture trustee may change an indenture without the consent of any holders with respect to specific matters, including:</w:t>
      </w:r>
    </w:p>
    <w:p>
      <w:pPr>
        <w:pStyle w:val="TextBody"/>
        <w:bidi w:val="0"/>
        <w:spacing w:before="0" w:after="0"/>
        <w:ind w:left="0" w:right="0" w:firstLine="720"/>
        <w:jc w:val="both"/>
        <w:rPr>
          <w:caps w:val="false"/>
          <w:smallCaps w:val="false"/>
        </w:rPr>
      </w:pPr>
      <w:r>
        <w:rPr>
          <w:caps w:val="false"/>
          <w:smallCaps w:val="false"/>
        </w:rPr>
        <w:t> </w:t>
      </w:r>
    </w:p>
    <w:tbl>
      <w:tblPr>
        <w:tblW w:w="5268" w:type="dxa"/>
        <w:jc w:val="left"/>
        <w:tblInd w:w="0" w:type="dxa"/>
        <w:tblLayout w:type="fixed"/>
        <w:tblCellMar>
          <w:top w:w="0" w:type="dxa"/>
          <w:left w:w="0" w:type="dxa"/>
          <w:bottom w:w="0" w:type="dxa"/>
          <w:right w:w="0" w:type="dxa"/>
        </w:tblCellMar>
      </w:tblPr>
      <w:tblGrid>
        <w:gridCol w:w="38"/>
        <w:gridCol w:w="170"/>
        <w:gridCol w:w="506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5060" w:type="dxa"/>
            <w:tcBorders/>
            <w:vAlign w:val="center"/>
          </w:tcPr>
          <w:p>
            <w:pPr>
              <w:pStyle w:val="TableContents"/>
              <w:bidi w:val="0"/>
              <w:spacing w:before="0" w:after="283"/>
              <w:jc w:val="both"/>
              <w:rPr>
                <w:sz w:val="20"/>
              </w:rPr>
            </w:pPr>
            <w:r>
              <w:rPr>
                <w:sz w:val="20"/>
              </w:rPr>
              <w:t>to fix any ambiguity, defect or inconsistency in the indenture;</w:t>
            </w:r>
          </w:p>
        </w:tc>
      </w:tr>
    </w:tbl>
    <w:p>
      <w:pPr>
        <w:pStyle w:val="TextBody"/>
        <w:bidi w:val="0"/>
        <w:spacing w:before="0" w:after="0"/>
        <w:ind w:left="0" w:right="0" w:hanging="0"/>
        <w:jc w:val="left"/>
        <w:rPr>
          <w:caps w:val="false"/>
          <w:smallCaps w:val="false"/>
        </w:rPr>
      </w:pPr>
      <w:r>
        <w:rPr>
          <w:caps w:val="false"/>
          <w:smallCaps w:val="false"/>
        </w:rPr>
        <w:t> </w:t>
      </w:r>
    </w:p>
    <w:tbl>
      <w:tblPr>
        <w:tblW w:w="7278" w:type="dxa"/>
        <w:jc w:val="left"/>
        <w:tblInd w:w="0" w:type="dxa"/>
        <w:tblLayout w:type="fixed"/>
        <w:tblCellMar>
          <w:top w:w="0" w:type="dxa"/>
          <w:left w:w="0" w:type="dxa"/>
          <w:bottom w:w="0" w:type="dxa"/>
          <w:right w:w="0" w:type="dxa"/>
        </w:tblCellMar>
      </w:tblPr>
      <w:tblGrid>
        <w:gridCol w:w="38"/>
        <w:gridCol w:w="170"/>
        <w:gridCol w:w="707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7070" w:type="dxa"/>
            <w:tcBorders/>
            <w:vAlign w:val="center"/>
          </w:tcPr>
          <w:p>
            <w:pPr>
              <w:pStyle w:val="TableContents"/>
              <w:bidi w:val="0"/>
              <w:spacing w:before="0" w:after="283"/>
              <w:jc w:val="both"/>
              <w:rPr>
                <w:sz w:val="20"/>
              </w:rPr>
            </w:pPr>
            <w:r>
              <w:rPr>
                <w:sz w:val="20"/>
              </w:rPr>
              <w:t>to comply with the provisions described above under “Consolidation, Merger or Sale”;</w:t>
            </w:r>
          </w:p>
        </w:tc>
      </w:tr>
    </w:tbl>
    <w:p>
      <w:pPr>
        <w:pStyle w:val="TextBody"/>
        <w:bidi w:val="0"/>
        <w:spacing w:before="0" w:after="0"/>
        <w:ind w:left="0" w:right="0" w:hanging="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sz w:val="20"/>
              </w:rPr>
            </w:pPr>
            <w:r>
              <w:rPr>
                <w:sz w:val="20"/>
              </w:rPr>
              <w:t>to comply with any requirements of the SEC in connection with the qualification of any indenture under the Trust Indenture Act of 1939;</w:t>
            </w:r>
          </w:p>
        </w:tc>
      </w:tr>
    </w:tbl>
    <w:p>
      <w:pPr>
        <w:pStyle w:val="TextBody"/>
        <w:bidi w:val="0"/>
        <w:spacing w:before="0" w:after="0"/>
        <w:ind w:left="0" w:right="0" w:hanging="0"/>
        <w:jc w:val="left"/>
        <w:rPr>
          <w:caps w:val="false"/>
          <w:smallCaps w:val="false"/>
        </w:rPr>
      </w:pPr>
      <w:r>
        <w:rPr>
          <w:caps w:val="false"/>
          <w:smallCaps w:val="false"/>
        </w:rPr>
        <w:t> </w:t>
      </w:r>
    </w:p>
    <w:tbl>
      <w:tblPr>
        <w:tblW w:w="6858" w:type="dxa"/>
        <w:jc w:val="left"/>
        <w:tblInd w:w="0" w:type="dxa"/>
        <w:tblLayout w:type="fixed"/>
        <w:tblCellMar>
          <w:top w:w="0" w:type="dxa"/>
          <w:left w:w="0" w:type="dxa"/>
          <w:bottom w:w="0" w:type="dxa"/>
          <w:right w:w="0" w:type="dxa"/>
        </w:tblCellMar>
      </w:tblPr>
      <w:tblGrid>
        <w:gridCol w:w="38"/>
        <w:gridCol w:w="170"/>
        <w:gridCol w:w="665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6650" w:type="dxa"/>
            <w:tcBorders/>
            <w:vAlign w:val="center"/>
          </w:tcPr>
          <w:p>
            <w:pPr>
              <w:pStyle w:val="TableContents"/>
              <w:bidi w:val="0"/>
              <w:spacing w:before="0" w:after="283"/>
              <w:jc w:val="both"/>
              <w:rPr>
                <w:sz w:val="20"/>
              </w:rPr>
            </w:pPr>
            <w:r>
              <w:rPr>
                <w:sz w:val="20"/>
              </w:rPr>
              <w:t>to evidence and provide for the acceptance of appointment by a successor trustee;</w:t>
            </w:r>
          </w:p>
        </w:tc>
      </w:tr>
    </w:tbl>
    <w:p>
      <w:pPr>
        <w:pStyle w:val="TextBody"/>
        <w:bidi w:val="0"/>
        <w:spacing w:before="0" w:after="0"/>
        <w:ind w:left="0" w:right="0" w:hanging="0"/>
        <w:jc w:val="left"/>
        <w:rPr>
          <w:caps w:val="false"/>
          <w:smallCaps w:val="false"/>
        </w:rPr>
      </w:pPr>
      <w:r>
        <w:rPr>
          <w:caps w:val="false"/>
          <w:smallCaps w:val="false"/>
        </w:rPr>
        <w:t> </w:t>
      </w:r>
    </w:p>
    <w:tbl>
      <w:tblPr>
        <w:tblW w:w="8148" w:type="dxa"/>
        <w:jc w:val="left"/>
        <w:tblInd w:w="0" w:type="dxa"/>
        <w:tblLayout w:type="fixed"/>
        <w:tblCellMar>
          <w:top w:w="0" w:type="dxa"/>
          <w:left w:w="0" w:type="dxa"/>
          <w:bottom w:w="0" w:type="dxa"/>
          <w:right w:w="0" w:type="dxa"/>
        </w:tblCellMar>
      </w:tblPr>
      <w:tblGrid>
        <w:gridCol w:w="38"/>
        <w:gridCol w:w="170"/>
        <w:gridCol w:w="794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7940" w:type="dxa"/>
            <w:tcBorders/>
            <w:vAlign w:val="center"/>
          </w:tcPr>
          <w:p>
            <w:pPr>
              <w:pStyle w:val="TableContents"/>
              <w:bidi w:val="0"/>
              <w:spacing w:before="0" w:after="283"/>
              <w:jc w:val="both"/>
              <w:rPr>
                <w:sz w:val="20"/>
              </w:rPr>
            </w:pPr>
            <w:r>
              <w:rPr>
                <w:sz w:val="20"/>
              </w:rPr>
              <w:t>to provide for uncertificated debt securities and to make all appropriate changes for such purpose;</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sz w:val="20"/>
              </w:rPr>
            </w:pPr>
            <w:r>
              <w:rPr>
                <w:sz w:val="20"/>
              </w:rPr>
              <w:t>to add to, delete from, or revise the conditions, limitations and restrictions on the authorized amount, terms or purposes of issuance, authorization and delivery of debt securities or any series, as set forth in the indenture;</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sz w:val="20"/>
              </w:rPr>
            </w:pPr>
            <w:r>
              <w:rPr>
                <w:sz w:val="20"/>
              </w:rPr>
              <w:t>to provide for the issuance of and establish the form and terms and conditions of the debt securities of any series as provided under “General” to establish the form of any certifications required to be furnished pursuant to the terms of the indenture or any series of debt securities, or to add to the rights of the holders of any series of debt securities;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sz w:val="20"/>
              </w:rPr>
            </w:pPr>
            <w:r>
              <w:rPr>
                <w:sz w:val="20"/>
              </w:rPr>
              <w:t>to add to our covenants such new covenants, restrictions, conditions or provisions for the protection of the holders, to make the occurrence, or the occurrence and the continuance, of a default in any such additional covenants, restrictions, conditions or provisions an event of default, or to surrender any of our rights or powers under the indenture; or</w:t>
            </w:r>
          </w:p>
        </w:tc>
      </w:tr>
    </w:tbl>
    <w:p>
      <w:pPr>
        <w:pStyle w:val="TextBody"/>
        <w:bidi w:val="0"/>
        <w:spacing w:before="0" w:after="0"/>
        <w:ind w:left="0" w:right="0" w:hanging="0"/>
        <w:jc w:val="left"/>
        <w:rPr>
          <w:caps w:val="false"/>
          <w:smallCaps w:val="false"/>
        </w:rPr>
      </w:pPr>
      <w:r>
        <w:rPr>
          <w:caps w:val="false"/>
          <w:smallCaps w:val="false"/>
        </w:rPr>
        <w:t> </w:t>
      </w:r>
    </w:p>
    <w:tbl>
      <w:tblPr>
        <w:tblW w:w="9768" w:type="dxa"/>
        <w:jc w:val="left"/>
        <w:tblInd w:w="0" w:type="dxa"/>
        <w:tblLayout w:type="fixed"/>
        <w:tblCellMar>
          <w:top w:w="0" w:type="dxa"/>
          <w:left w:w="0" w:type="dxa"/>
          <w:bottom w:w="0" w:type="dxa"/>
          <w:right w:w="0" w:type="dxa"/>
        </w:tblCellMar>
      </w:tblPr>
      <w:tblGrid>
        <w:gridCol w:w="38"/>
        <w:gridCol w:w="170"/>
        <w:gridCol w:w="956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560" w:type="dxa"/>
            <w:tcBorders/>
            <w:vAlign w:val="center"/>
          </w:tcPr>
          <w:p>
            <w:pPr>
              <w:pStyle w:val="TableContents"/>
              <w:bidi w:val="0"/>
              <w:spacing w:before="0" w:after="283"/>
              <w:jc w:val="both"/>
              <w:rPr>
                <w:sz w:val="20"/>
              </w:rPr>
            </w:pPr>
            <w:r>
              <w:rPr>
                <w:sz w:val="20"/>
              </w:rPr>
              <w:t>to change anything that does not materially adversely affect the interests of any holder of debt securities of any series.</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under the indentures, the rights of holders of a series of debt securities may be changed by us and the debenture trustee with the written consent of the holders of at least a majority in aggregate principal amount of the outstanding debt securities of each series that is affected. However, we and the debenture trustee may only make the following changes with the consent of each holder of any outstanding debt securities affected:</w:t>
      </w:r>
    </w:p>
    <w:p>
      <w:pPr>
        <w:pStyle w:val="TextBody"/>
        <w:bidi w:val="0"/>
        <w:spacing w:before="0" w:after="0"/>
        <w:ind w:left="0" w:right="0" w:firstLine="720"/>
        <w:jc w:val="both"/>
        <w:rPr>
          <w:caps w:val="false"/>
          <w:smallCaps w:val="false"/>
        </w:rPr>
      </w:pPr>
      <w:r>
        <w:rPr>
          <w:caps w:val="false"/>
          <w:smallCaps w:val="false"/>
        </w:rPr>
        <w:t> </w:t>
      </w:r>
    </w:p>
    <w:tbl>
      <w:tblPr>
        <w:tblW w:w="5058" w:type="dxa"/>
        <w:jc w:val="left"/>
        <w:tblInd w:w="0" w:type="dxa"/>
        <w:tblLayout w:type="fixed"/>
        <w:tblCellMar>
          <w:top w:w="0" w:type="dxa"/>
          <w:left w:w="0" w:type="dxa"/>
          <w:bottom w:w="0" w:type="dxa"/>
          <w:right w:w="0" w:type="dxa"/>
        </w:tblCellMar>
      </w:tblPr>
      <w:tblGrid>
        <w:gridCol w:w="38"/>
        <w:gridCol w:w="170"/>
        <w:gridCol w:w="485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4850" w:type="dxa"/>
            <w:tcBorders/>
            <w:vAlign w:val="center"/>
          </w:tcPr>
          <w:p>
            <w:pPr>
              <w:pStyle w:val="TableContents"/>
              <w:bidi w:val="0"/>
              <w:spacing w:before="0" w:after="283"/>
              <w:jc w:val="both"/>
              <w:rPr>
                <w:sz w:val="20"/>
              </w:rPr>
            </w:pPr>
            <w:r>
              <w:rPr>
                <w:sz w:val="20"/>
              </w:rPr>
              <w:t>extending the fixed maturity of the series of debt securities;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sz w:val="20"/>
              </w:rPr>
            </w:pPr>
            <w:r>
              <w:rPr>
                <w:sz w:val="20"/>
              </w:rPr>
              <w:t>reducing the principal amount, reducing the rate of or extending the time of payment of interest, or reducing any premium payable upon the redemption of any debt securities; or</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sz w:val="20"/>
              </w:rPr>
            </w:pPr>
            <w:r>
              <w:rPr>
                <w:sz w:val="20"/>
              </w:rPr>
              <w:t>reducing the percentage of debt securities, the holders of which are required to consent to any amendment, supplement, modification or waiver.</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Discharge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indenture provides that we can elect to be discharged from our obligations with respect to one or more series of debt securities, except that the following obligations, among others survive until the maturity date or the redemption date:</w:t>
      </w:r>
    </w:p>
    <w:p>
      <w:pPr>
        <w:pStyle w:val="TextBody"/>
        <w:bidi w:val="0"/>
        <w:spacing w:before="0" w:after="0"/>
        <w:ind w:left="0" w:right="0" w:firstLine="720"/>
        <w:jc w:val="both"/>
        <w:rPr>
          <w:caps w:val="false"/>
          <w:smallCaps w:val="false"/>
        </w:rPr>
      </w:pPr>
      <w:r>
        <w:rPr>
          <w:caps w:val="false"/>
          <w:smallCaps w:val="false"/>
        </w:rPr>
        <w:t> </w:t>
      </w:r>
    </w:p>
    <w:tbl>
      <w:tblPr>
        <w:tblW w:w="5313" w:type="dxa"/>
        <w:jc w:val="left"/>
        <w:tblInd w:w="0" w:type="dxa"/>
        <w:tblLayout w:type="fixed"/>
        <w:tblCellMar>
          <w:top w:w="0" w:type="dxa"/>
          <w:left w:w="0" w:type="dxa"/>
          <w:bottom w:w="0" w:type="dxa"/>
          <w:right w:w="0" w:type="dxa"/>
        </w:tblCellMar>
      </w:tblPr>
      <w:tblGrid>
        <w:gridCol w:w="38"/>
        <w:gridCol w:w="170"/>
        <w:gridCol w:w="510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5105" w:type="dxa"/>
            <w:tcBorders/>
            <w:vAlign w:val="center"/>
          </w:tcPr>
          <w:p>
            <w:pPr>
              <w:pStyle w:val="TableContents"/>
              <w:bidi w:val="0"/>
              <w:spacing w:before="0" w:after="283"/>
              <w:jc w:val="both"/>
              <w:rPr>
                <w:sz w:val="20"/>
              </w:rPr>
            </w:pPr>
            <w:r>
              <w:rPr>
                <w:sz w:val="20"/>
              </w:rPr>
              <w:t>register the transfer or exchange of debt securities of the series;</w:t>
            </w:r>
          </w:p>
        </w:tc>
      </w:tr>
    </w:tbl>
    <w:p>
      <w:pPr>
        <w:pStyle w:val="TextBody"/>
        <w:bidi w:val="0"/>
        <w:spacing w:before="0" w:after="0"/>
        <w:ind w:left="0" w:right="0" w:hanging="0"/>
        <w:jc w:val="center"/>
        <w:rPr>
          <w:caps w:val="false"/>
          <w:smallCaps w:val="false"/>
        </w:rPr>
      </w:pPr>
      <w:r>
        <w:rPr>
          <w:caps w:val="false"/>
          <w:smallCaps w:val="false"/>
        </w:rPr>
        <w:t> </w:t>
      </w:r>
    </w:p>
    <w:tbl>
      <w:tblPr>
        <w:tblW w:w="5073" w:type="dxa"/>
        <w:jc w:val="left"/>
        <w:tblInd w:w="0" w:type="dxa"/>
        <w:tblLayout w:type="fixed"/>
        <w:tblCellMar>
          <w:top w:w="0" w:type="dxa"/>
          <w:left w:w="0" w:type="dxa"/>
          <w:bottom w:w="0" w:type="dxa"/>
          <w:right w:w="0" w:type="dxa"/>
        </w:tblCellMar>
      </w:tblPr>
      <w:tblGrid>
        <w:gridCol w:w="38"/>
        <w:gridCol w:w="170"/>
        <w:gridCol w:w="486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4865" w:type="dxa"/>
            <w:tcBorders/>
            <w:vAlign w:val="center"/>
          </w:tcPr>
          <w:p>
            <w:pPr>
              <w:pStyle w:val="TableContents"/>
              <w:bidi w:val="0"/>
              <w:spacing w:before="0" w:after="283"/>
              <w:jc w:val="both"/>
              <w:rPr>
                <w:sz w:val="20"/>
              </w:rPr>
            </w:pPr>
            <w:r>
              <w:rPr>
                <w:sz w:val="20"/>
              </w:rPr>
              <w:t>replace stolen, lost or mutilated debt securities of the series;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12 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2388" w:type="dxa"/>
        <w:jc w:val="left"/>
        <w:tblInd w:w="0" w:type="dxa"/>
        <w:tblLayout w:type="fixed"/>
        <w:tblCellMar>
          <w:top w:w="0" w:type="dxa"/>
          <w:left w:w="0" w:type="dxa"/>
          <w:bottom w:w="0" w:type="dxa"/>
          <w:right w:w="0" w:type="dxa"/>
        </w:tblCellMar>
      </w:tblPr>
      <w:tblGrid>
        <w:gridCol w:w="38"/>
        <w:gridCol w:w="170"/>
        <w:gridCol w:w="218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2180" w:type="dxa"/>
            <w:tcBorders/>
            <w:vAlign w:val="center"/>
          </w:tcPr>
          <w:p>
            <w:pPr>
              <w:pStyle w:val="TableContents"/>
              <w:bidi w:val="0"/>
              <w:spacing w:before="0" w:after="283"/>
              <w:jc w:val="both"/>
              <w:rPr>
                <w:sz w:val="20"/>
              </w:rPr>
            </w:pPr>
            <w:r>
              <w:rPr>
                <w:sz w:val="20"/>
              </w:rPr>
              <w:t>maintain paying agencies;</w:t>
            </w:r>
          </w:p>
        </w:tc>
      </w:tr>
    </w:tbl>
    <w:p>
      <w:pPr>
        <w:pStyle w:val="TextBody"/>
        <w:bidi w:val="0"/>
        <w:spacing w:before="0" w:after="0"/>
        <w:ind w:left="0" w:right="0" w:hanging="0"/>
        <w:jc w:val="left"/>
        <w:rPr>
          <w:caps w:val="false"/>
          <w:smallCaps w:val="false"/>
        </w:rPr>
      </w:pPr>
      <w:r>
        <w:rPr>
          <w:caps w:val="false"/>
          <w:smallCaps w:val="false"/>
        </w:rPr>
        <w:t> </w:t>
      </w:r>
    </w:p>
    <w:tbl>
      <w:tblPr>
        <w:tblW w:w="2943" w:type="dxa"/>
        <w:jc w:val="left"/>
        <w:tblInd w:w="0" w:type="dxa"/>
        <w:tblLayout w:type="fixed"/>
        <w:tblCellMar>
          <w:top w:w="0" w:type="dxa"/>
          <w:left w:w="0" w:type="dxa"/>
          <w:bottom w:w="0" w:type="dxa"/>
          <w:right w:w="0" w:type="dxa"/>
        </w:tblCellMar>
      </w:tblPr>
      <w:tblGrid>
        <w:gridCol w:w="38"/>
        <w:gridCol w:w="170"/>
        <w:gridCol w:w="273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2735" w:type="dxa"/>
            <w:tcBorders/>
            <w:vAlign w:val="center"/>
          </w:tcPr>
          <w:p>
            <w:pPr>
              <w:pStyle w:val="TableContents"/>
              <w:bidi w:val="0"/>
              <w:spacing w:before="0" w:after="283"/>
              <w:jc w:val="both"/>
              <w:rPr>
                <w:sz w:val="20"/>
              </w:rPr>
            </w:pPr>
            <w:r>
              <w:rPr>
                <w:sz w:val="20"/>
              </w:rPr>
              <w:t>hold monies for payment in trust;</w:t>
            </w:r>
          </w:p>
        </w:tc>
      </w:tr>
    </w:tbl>
    <w:p>
      <w:pPr>
        <w:pStyle w:val="TextBody"/>
        <w:bidi w:val="0"/>
        <w:spacing w:before="0" w:after="0"/>
        <w:ind w:left="0" w:right="0" w:hanging="0"/>
        <w:jc w:val="left"/>
        <w:rPr>
          <w:caps w:val="false"/>
          <w:smallCaps w:val="false"/>
        </w:rPr>
      </w:pPr>
      <w:r>
        <w:rPr>
          <w:caps w:val="false"/>
          <w:smallCaps w:val="false"/>
        </w:rPr>
        <w:t> </w:t>
      </w:r>
    </w:p>
    <w:tbl>
      <w:tblPr>
        <w:tblW w:w="9138" w:type="dxa"/>
        <w:jc w:val="left"/>
        <w:tblInd w:w="0" w:type="dxa"/>
        <w:tblLayout w:type="fixed"/>
        <w:tblCellMar>
          <w:top w:w="0" w:type="dxa"/>
          <w:left w:w="0" w:type="dxa"/>
          <w:bottom w:w="0" w:type="dxa"/>
          <w:right w:w="0" w:type="dxa"/>
        </w:tblCellMar>
      </w:tblPr>
      <w:tblGrid>
        <w:gridCol w:w="38"/>
        <w:gridCol w:w="170"/>
        <w:gridCol w:w="893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8930" w:type="dxa"/>
            <w:tcBorders/>
            <w:vAlign w:val="center"/>
          </w:tcPr>
          <w:p>
            <w:pPr>
              <w:pStyle w:val="TableContents"/>
              <w:bidi w:val="0"/>
              <w:spacing w:before="0" w:after="283"/>
              <w:jc w:val="both"/>
              <w:rPr>
                <w:sz w:val="20"/>
              </w:rPr>
            </w:pPr>
            <w:r>
              <w:rPr>
                <w:sz w:val="20"/>
              </w:rPr>
              <w:t>appoint any successor trustee; and the following obligations survive the maturity date or the redemption date;</w:t>
            </w:r>
          </w:p>
        </w:tc>
      </w:tr>
    </w:tbl>
    <w:p>
      <w:pPr>
        <w:pStyle w:val="TextBody"/>
        <w:bidi w:val="0"/>
        <w:spacing w:before="0" w:after="0"/>
        <w:ind w:left="0" w:right="0" w:hanging="0"/>
        <w:jc w:val="left"/>
        <w:rPr>
          <w:caps w:val="false"/>
          <w:smallCaps w:val="false"/>
        </w:rPr>
      </w:pPr>
      <w:r>
        <w:rPr>
          <w:caps w:val="false"/>
          <w:smallCaps w:val="false"/>
        </w:rPr>
        <w:t> </w:t>
      </w:r>
    </w:p>
    <w:tbl>
      <w:tblPr>
        <w:tblW w:w="4855" w:type="dxa"/>
        <w:jc w:val="left"/>
        <w:tblInd w:w="0" w:type="dxa"/>
        <w:tblLayout w:type="fixed"/>
        <w:tblCellMar>
          <w:top w:w="0" w:type="dxa"/>
          <w:left w:w="0" w:type="dxa"/>
          <w:bottom w:w="0" w:type="dxa"/>
          <w:right w:w="0" w:type="dxa"/>
        </w:tblCellMar>
      </w:tblPr>
      <w:tblGrid>
        <w:gridCol w:w="75"/>
        <w:gridCol w:w="170"/>
        <w:gridCol w:w="4610"/>
      </w:tblGrid>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left"/>
              <w:rPr/>
            </w:pPr>
            <w:r>
              <w:rPr/>
              <w:t>●</w:t>
            </w:r>
          </w:p>
        </w:tc>
        <w:tc>
          <w:tcPr>
            <w:tcW w:w="4610" w:type="dxa"/>
            <w:tcBorders/>
            <w:vAlign w:val="center"/>
          </w:tcPr>
          <w:p>
            <w:pPr>
              <w:pStyle w:val="TableContents"/>
              <w:bidi w:val="0"/>
              <w:spacing w:before="0" w:after="283"/>
              <w:jc w:val="both"/>
              <w:rPr>
                <w:sz w:val="20"/>
              </w:rPr>
            </w:pPr>
            <w:r>
              <w:rPr>
                <w:sz w:val="20"/>
              </w:rPr>
              <w:t>recover excess money held by the debenture trustee; and</w:t>
            </w:r>
          </w:p>
        </w:tc>
      </w:tr>
    </w:tbl>
    <w:p>
      <w:pPr>
        <w:pStyle w:val="TextBody"/>
        <w:bidi w:val="0"/>
        <w:spacing w:before="0" w:after="0"/>
        <w:ind w:left="0" w:right="0" w:hanging="0"/>
        <w:jc w:val="left"/>
        <w:rPr>
          <w:caps w:val="false"/>
          <w:smallCaps w:val="false"/>
        </w:rPr>
      </w:pPr>
      <w:r>
        <w:rPr>
          <w:caps w:val="false"/>
          <w:smallCaps w:val="false"/>
        </w:rPr>
        <w:t> </w:t>
      </w:r>
    </w:p>
    <w:tbl>
      <w:tblPr>
        <w:tblW w:w="4255" w:type="dxa"/>
        <w:jc w:val="left"/>
        <w:tblInd w:w="0" w:type="dxa"/>
        <w:tblLayout w:type="fixed"/>
        <w:tblCellMar>
          <w:top w:w="0" w:type="dxa"/>
          <w:left w:w="0" w:type="dxa"/>
          <w:bottom w:w="0" w:type="dxa"/>
          <w:right w:w="0" w:type="dxa"/>
        </w:tblCellMar>
      </w:tblPr>
      <w:tblGrid>
        <w:gridCol w:w="75"/>
        <w:gridCol w:w="170"/>
        <w:gridCol w:w="401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4010" w:type="dxa"/>
            <w:tcBorders/>
            <w:vAlign w:val="center"/>
          </w:tcPr>
          <w:p>
            <w:pPr>
              <w:pStyle w:val="TableContents"/>
              <w:bidi w:val="0"/>
              <w:spacing w:before="0" w:after="283"/>
              <w:jc w:val="both"/>
              <w:rPr>
                <w:sz w:val="20"/>
              </w:rPr>
            </w:pPr>
            <w:r>
              <w:rPr>
                <w:sz w:val="20"/>
              </w:rPr>
              <w:t>compensate and indemnify the debenture trustee.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more fully set forth in the indentures, in order to exercise our rights to be discharged, we must either deliver for cancellation all securities of a series to the debenture trustee or must deposit with the debenture trustee money or government obligations sufficient to pay all the principal of, any premium, if any, and interest on, the debt securities of the series on the dates payments are due.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Form, Exchange and Transfer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will issue the debt securities of each series only in fully registered form without coupons and, unless we otherwise specify in the applicable prospectus supplement, in denominations of $1,000 and any integral multiple thereof. The indentures provide that we may issue debt securities of a series in temporary or permanent global form and as book-entry securities that will be deposited with, or on behalf of, The Depository Trust Company, New York, New York, known as DTC, or another depositary named by us and identified in a prospectus supplement with respect to that series.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 the option of the holder, subject to the terms of the indentures and the limitations applicable to global securities described in the applicable prospectus supplement, the holder of the debt securities of any series can exchange the debt securities for other debt securities of the same series, in any authorized denomination and of like tenor and aggregate principal amount.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Subject to the terms of the indentures and the limitations applicable to global securities set forth in the applicable prospectus supplement, holders of the debt securities may present the debt securities for exchange or for registration of transfer, duly endorsed or with the form of transfer endorsed thereon duly executed if so required by us or the security registrar, at the office of the security registrar or at the office of any transfer agent designated by us for this purpose. Unless otherwise provided in the debt securities that the holder presents for transfer or exchange, we will make no service charge for any registration of transfer or exchange, but we may require payment of any taxes or other governmental charges.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will name in a board resolution the security registrar, and any transfer agent in addition to the security registrar, that we initially designate for any debt securities. We may at any time designate additional transfer agents or rescind the designation of any transfer agent or approve a change in the office through which any transfer agent acts, except that we will be required to maintain a transfer agent in each place of payment for the debt securities of each series.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we elect to redeem the debt securities of any series, we will not be required to:</w:t>
      </w:r>
    </w:p>
    <w:p>
      <w:pPr>
        <w:pStyle w:val="TextBody"/>
        <w:bidi w:val="0"/>
        <w:spacing w:before="0" w:after="0"/>
        <w:ind w:left="0" w:right="0" w:firstLine="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sz w:val="20"/>
              </w:rPr>
            </w:pPr>
            <w:r>
              <w:rPr>
                <w:sz w:val="20"/>
              </w:rPr>
              <w:t>issue, register the transfer of, or exchange any debt securities of any series being redeemed in part during a period beginning at the opening of business 15 days before the day of mailing of a notice of redemption of any debt securities that may be selected for redemption and ending at the close of business on the day of the mailing; or</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sz w:val="20"/>
              </w:rPr>
            </w:pPr>
            <w:r>
              <w:rPr>
                <w:sz w:val="20"/>
              </w:rPr>
              <w:t>register the transfer of or exchange any debt securities so selected for redemption, in whole or in part, except the unredeemed portion of any debt securities we are redeeming in part.</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13 </w:t>
      </w:r>
    </w:p>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Information Concerning the Debenture Trustee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debenture trustee, other than during the occurrence and continuance of an event of default under an indenture, undertakes to perform only those duties as are specifically set forth in the applicable indenture. Upon an event of default under an indenture, the debenture trustee must use the same degree of care as a prudent person would exercise or use in the conduct of his or her own affairs. Subject to this provision, the debenture trustee is under no obligation to exercise any of the powers given it by the indentures at the request of any holder of debt securities unless it is offered reasonable security and indemnity against the costs, expenses, and liabilities that it might incur.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Payment and Paying Agents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Unless we otherwise indicate in the applicable prospectus supplement, we will make payment of the interest on any debt securities on any interest payment date to the person in whose name the debt securities, or one or more predecessor securities, are registered at the close of business on the regular record date for the interest.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will name in the applicable board resolution any other paying agents that we initially designate for the debt securities of a particular series. We will maintain a paying agent in each place of payment for the debt securities of a particular series.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money we pay to a paying agent or the debenture trustee for the payment of the principal of or any premium or interest on any debt securities that remains unclaimed at the end of two years after such principal, premium or interest has become due and payable will be repaid to us, and the holder of the debt security thereafter may look only to us for payment thereof.</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Governing Law</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indentures and the debt securities will be governed by and construed in accordance with the laws of the State of New York, except to the extent that the Trust Indenture Act of 1939 is applicable.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Subordination of Subordinated Debt Securities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subordinated debt securities will be subordinate and junior in priority of payment to certain of our other indebtedness to the extent described in a prospectus supplement. The indentures in the forms initially filed as exhibits to the registration statement of which this prospectus is a part do not limit the amount of indebtedness that we may incur, including senior indebtedness or subordinated indebtedness, and do not limit us from issuing any other debt, including secured debt or unsecured debt.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Anti-Takeover Provisions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Certain provisions of Delaware law, our Certificate of Incorporation and our Bylaws may have the effect of delaying, deferring or discouraging another person from acquiring control of the Company.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Among other things, the Charter and Bylaws:</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sz w:val="20"/>
              </w:rPr>
            </w:pPr>
            <w:r>
              <w:rPr>
                <w:sz w:val="20"/>
              </w:rPr>
              <w:t>permit the Board to issue up to 10,000,000 shares of preferred stock, with any rights, preferences, and privileges as they may designate, including the right to approve an acquisition or other change of control;</w:t>
            </w:r>
          </w:p>
        </w:tc>
      </w:tr>
    </w:tbl>
    <w:p>
      <w:pPr>
        <w:pStyle w:val="TextBody"/>
        <w:bidi w:val="0"/>
        <w:spacing w:before="0" w:after="0"/>
        <w:ind w:left="0" w:right="0" w:hanging="0"/>
        <w:jc w:val="left"/>
        <w:rPr>
          <w:caps w:val="false"/>
          <w:smallCaps w:val="false"/>
        </w:rPr>
      </w:pPr>
      <w:r>
        <w:rPr>
          <w:caps w:val="false"/>
          <w:smallCaps w:val="false"/>
        </w:rPr>
        <w:t> </w:t>
      </w:r>
    </w:p>
    <w:tbl>
      <w:tblPr>
        <w:tblW w:w="8088" w:type="dxa"/>
        <w:jc w:val="left"/>
        <w:tblInd w:w="0" w:type="dxa"/>
        <w:tblLayout w:type="fixed"/>
        <w:tblCellMar>
          <w:top w:w="0" w:type="dxa"/>
          <w:left w:w="0" w:type="dxa"/>
          <w:bottom w:w="0" w:type="dxa"/>
          <w:right w:w="0" w:type="dxa"/>
        </w:tblCellMar>
      </w:tblPr>
      <w:tblGrid>
        <w:gridCol w:w="38"/>
        <w:gridCol w:w="170"/>
        <w:gridCol w:w="788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7880" w:type="dxa"/>
            <w:tcBorders/>
            <w:vAlign w:val="center"/>
          </w:tcPr>
          <w:p>
            <w:pPr>
              <w:pStyle w:val="TableContents"/>
              <w:bidi w:val="0"/>
              <w:spacing w:before="0" w:after="283"/>
              <w:jc w:val="both"/>
              <w:rPr>
                <w:sz w:val="20"/>
              </w:rPr>
            </w:pPr>
            <w:r>
              <w:rPr>
                <w:sz w:val="20"/>
              </w:rPr>
              <w:t>provide that the authorized number of directors may be changed only by resolution of the Board;</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14 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5508" w:type="dxa"/>
        <w:jc w:val="left"/>
        <w:tblInd w:w="0" w:type="dxa"/>
        <w:tblLayout w:type="fixed"/>
        <w:tblCellMar>
          <w:top w:w="0" w:type="dxa"/>
          <w:left w:w="0" w:type="dxa"/>
          <w:bottom w:w="0" w:type="dxa"/>
          <w:right w:w="0" w:type="dxa"/>
        </w:tblCellMar>
      </w:tblPr>
      <w:tblGrid>
        <w:gridCol w:w="38"/>
        <w:gridCol w:w="170"/>
        <w:gridCol w:w="530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5300" w:type="dxa"/>
            <w:tcBorders/>
            <w:vAlign w:val="center"/>
          </w:tcPr>
          <w:p>
            <w:pPr>
              <w:pStyle w:val="TableContents"/>
              <w:bidi w:val="0"/>
              <w:spacing w:before="0" w:after="283"/>
              <w:jc w:val="both"/>
              <w:rPr>
                <w:sz w:val="20"/>
              </w:rPr>
            </w:pPr>
            <w:r>
              <w:rPr>
                <w:sz w:val="20"/>
              </w:rPr>
              <w:t>provide that the Board is classified into three classes of directors;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sz w:val="20"/>
              </w:rPr>
            </w:pPr>
            <w:r>
              <w:rPr>
                <w:sz w:val="20"/>
              </w:rPr>
              <w:t>provide that all vacancies, including newly created directorships, may, except as otherwise required by law, be filled by the affirmative vote of a majority of directors then in office, even if less than a quorum;</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sz w:val="20"/>
              </w:rPr>
            </w:pPr>
            <w:r>
              <w:rPr>
                <w:sz w:val="20"/>
              </w:rPr>
              <w:t>require that any action to be taken by the Company’s stockholders must be effected at a duly called annual or special meeting of stockholders and not be taken by written consent or electronic transmission;</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sz w:val="20"/>
              </w:rPr>
            </w:pPr>
            <w:r>
              <w:rPr>
                <w:sz w:val="20"/>
              </w:rPr>
              <w:t>provide that stockholders seeking to present proposals before a meeting of stockholders or to nominate candidates for election as directors at a meeting of stockholders must provide advance notice in writing, and also specify requirements as to the form and content of a stockholder’s notice;</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sz w:val="20"/>
              </w:rPr>
            </w:pPr>
            <w:r>
              <w:rPr>
                <w:sz w:val="20"/>
              </w:rPr>
              <w:t>provide that special meetings of the Company’s stockholders may be called only by the Board, the chairperson of the Board, the Company’s Chief Executive Officer or upon the written request by a majority of the shareholders entitled to vote; and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sz w:val="20"/>
              </w:rPr>
            </w:pPr>
            <w:r>
              <w:rPr>
                <w:sz w:val="20"/>
              </w:rPr>
              <w:t>do not provide for cumulative voting rights, therefore allowing the holders of a majority of the voting power of the stock of the Company entitled to vote in any election of directors to elect all of the directors standing for election, if they should so choose.</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amendment of any of these provisions would require approval by the holders of at least 66 2/3% of the voting power of all of the Company’s then-outstanding capital stock entitled to vote generally in the election of directors, voting together as a single class.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combination of these provisions makes it more difficult for the Company’s existing stockholders to replace the Board as well as for another party to obtain control of us by replacing the Board. Since the Board has the power to retain and discharge the Company’s officers, these provisions could also make it more difficult for existing stockholders or another party to effect a change in management. In addition, the authorization of undesignated preferred stock makes it possible for the Board to issue preferred stock with voting or other rights or preferences that could impede the success of any attempt to change the Company’s control.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These provisions are intended to enhance the likelihood of continued stability in the composition of the Board and its policies and to discourage coercive takeover practices and inadequate takeover bids. These provisions are also designed to reduce the Company’s vulnerability to hostile takeovers and to discourage certain tactics that may be used in proxy fights. However, such provisions could have the effect of discouraging others from making tender offers for the Company’s shares and may have the effect of delaying changes in the Company’s control or management. As a consequence, these provisions may also inhibit fluctuations in the market price of the Company’s stock.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Certain Anti-Takeover Provisions of Delaware Law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Special Meetings of Stockholders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Charter and the Bylaws provide that special meetings of the Company’s stockholders may be called only by the Board, the Chairman of the Board, the Chief Executive Officer of the Company, or upon the written request by a majority of the shareholders entitled to vote.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15 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Advance Notice Requirements for Stockholder Proposals and Director Nominations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Bylaws provide that stockholders seeking to nominate candidates for election to the Board or to bring business before the Company’s annual meeting of stockholders, must provide timely notice of their intent in writing. To be timely under the Bylaws, a stockholder’s notice needs to be received by the Secretary of the Company at the Company’s principal executive offices not later than the close of business on the 90th day nor earlier than the close of business on the 120th day prior to the first anniversary of the preceding year’s annual meeting provided, however, that in the event that no annual meeting was held during the preceding year or the date of the annual meeting is advanced more than 30 days prior to or delayed by more than 60 days after the anniversary of the date of the preceding year’s annual meeting, notice by the stockholder to be timely must be so received not earlier than the close of business on the 120th day prior to such annual meeting and no later than the close of business on the later of the 90th day prior to such annual meeting or the tenth day following the day on which public announcement of the date of such meeting is first made by the Company. The Bylaws also specify certain requirements as to the form and content of a stockholders’ meeting. These provisions may preclude the Company’s stockholders from bringing matters before its annual meeting of stockholders or from making nominations for directors at our annual meeting of stockholders.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 xml:space="preserve">Exclusive Forum Selection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Charter provides that unless the Company consents in writing to the selection of an alternative forum to the fullest extent permitted by the applicable law, the Court of Chancery of the State of Delaware (or, if and only if the Court of Chancery of the State of Delaware lacks subject matter jurisdiction, any state court located within the State of Delaware or, if and only if all such state courts lack subject matter jurisdiction, the federal district court for the District of Delaware) and any appellate court therefrom shall be the sole and exclusive forum for the following claims or causes of action under Delaware statutory or common law: (a) any derivative claim or cause of action brought on behalf of the Company; (b) any claim or cause of action for breach of a fiduciary duty owed by any current or former director, officer or other employee of the Company, to the Company or its stockholders; (c) any claim or cause of action against the Company or any current or former director, officer or other employee of the Company, arising out of or pursuant to any provision of the DGCL, the Charter or the Bylaws; (d) any claim or cause of action seeking to interpret, apply, enforce or determine the validity of the Charter or the Bylaws; (e) any claim or cause of action as to which the DGCL confers jurisdiction on the Court of Chancery of the State of Delaware; and (f) any claim or cause of action against the Company or any current or former director, officer or other employee of the Company, governed by the internal-affairs doctrine or otherwise related to the Company’s internal affairs, in all cases to the fullest extent permitted by law and subject to the court having personal jurisdiction over the indispensable parties named as defendants. The Charter also requires that unless the Company consents in writing to the selection of an alternative forum, to the fullest extent permitted by law, the federal district courts of the United States shall be the exclusive forum for the resolution of any complaint asserting a cause of action under the Securities Act. The above shall not apply to claims or causes of action brought to enforce a duty or liability created by the Securities Act or the Exchange Act or any other claim for which the federal courts have exclusive jurisdiction. Although the Company believes these provisions benefit us by providing increased consistency in the application of the DGCL in the types of lawsuits to which it applies, a court may determine that these provisions are unenforceable, and to the extent they are enforceable, the provisions may have the effect of discouraging lawsuits against the Company’s directors and officers, although the Company’s stockholders will not be deemed to have waived its compliance with federal securities laws and the rules and regulations thereunder.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Section 203 of the Delaware General Corporation Law</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opted out of the provisions of Section 203 of the DGCL regulating corporate takeovers under the Charter. This statute prevents certain Delaware corporations, under certain circumstances, from engaging in a “business combination” with:</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sz w:val="20"/>
              </w:rPr>
            </w:pPr>
            <w:r>
              <w:rPr>
                <w:sz w:val="20"/>
              </w:rPr>
              <w:t>a stockholder who owns 15% or more of the Company’s outstanding voting stock (otherwise known as an “interested stockholder”);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16 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3678" w:type="dxa"/>
        <w:jc w:val="left"/>
        <w:tblInd w:w="0" w:type="dxa"/>
        <w:tblLayout w:type="fixed"/>
        <w:tblCellMar>
          <w:top w:w="0" w:type="dxa"/>
          <w:left w:w="0" w:type="dxa"/>
          <w:bottom w:w="0" w:type="dxa"/>
          <w:right w:w="0" w:type="dxa"/>
        </w:tblCellMar>
      </w:tblPr>
      <w:tblGrid>
        <w:gridCol w:w="38"/>
        <w:gridCol w:w="170"/>
        <w:gridCol w:w="347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3470" w:type="dxa"/>
            <w:tcBorders/>
            <w:vAlign w:val="center"/>
          </w:tcPr>
          <w:p>
            <w:pPr>
              <w:pStyle w:val="TableContents"/>
              <w:bidi w:val="0"/>
              <w:spacing w:before="0" w:after="283"/>
              <w:jc w:val="both"/>
              <w:rPr>
                <w:sz w:val="20"/>
              </w:rPr>
            </w:pPr>
            <w:r>
              <w:rPr>
                <w:sz w:val="20"/>
              </w:rPr>
              <w:t>an affiliate of an interested stockholder; or</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sz w:val="20"/>
              </w:rPr>
            </w:pPr>
            <w:r>
              <w:rPr>
                <w:sz w:val="20"/>
              </w:rPr>
              <w:t>an associate of an interested stockholder, for three years following the date that the stockholder became an interested stockholder.</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“business combination” includes a merger or sale of more than 10% of the Company’s assets. However, the above provisions of Section 203 do not apply if:</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sz w:val="20"/>
              </w:rPr>
            </w:pPr>
            <w:r>
              <w:rPr>
                <w:sz w:val="20"/>
              </w:rPr>
              <w:t>our Board approves the transaction that made the stockholder an “interested stockholder,” prior to the date of the transaction;</w:t>
            </w:r>
          </w:p>
        </w:tc>
      </w:tr>
    </w:tbl>
    <w:p>
      <w:pPr>
        <w:pStyle w:val="TextBody"/>
        <w:bidi w:val="0"/>
        <w:spacing w:before="0" w:after="0"/>
        <w:ind w:left="0" w:right="0" w:hanging="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sz w:val="20"/>
              </w:rPr>
            </w:pPr>
            <w:r>
              <w:rPr>
                <w:sz w:val="20"/>
              </w:rPr>
              <w:t>after the completion of the transaction that resulted in the stockholder becoming an interested stockholder, that stockholder owned at least 85% of the Company’s voting stock outstanding at the time the transaction commenced, other than statutorily excluded shares of common stock; or</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sz w:val="20"/>
              </w:rPr>
            </w:pPr>
            <w:r>
              <w:rPr>
                <w:sz w:val="20"/>
              </w:rPr>
              <w:t>on or subsequent to the date of the transaction, the initial business combination is approved by the Board and authorized at a meeting of the Company’s stockholders, and not by written consent, by an affirmative vote of at least two-thirds of the outstanding voting stock not owned by the interested stockholder.</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certain circumstances, this provision makes it more difficult for a person who would be an “interested stockholder” to effect various business combinations with the Company for a three-year period. This provision may encourage companies interested in acquiring us to negotiate in advance with the Board because the stockholder approval requirement would be avoided if the Board approves either the business combination or the transaction which results in the stockholder becoming an interested stockholder. These provisions also may have the effect of preventing changes in the Board and may make it more difficult to accomplish transactions which stockholders may otherwise deem to be in their best interests.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Limitations on Liability and Indemnification of Officers and Directors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Charter eliminates the Company’s directors’ liability for monetary damages to the fullest extent permitted by applicable law. The DGCL provides that directors of a corporation will not be personally liable for monetary damages for breach of their fiduciary duties as directors, except for liability:</w:t>
      </w:r>
    </w:p>
    <w:p>
      <w:pPr>
        <w:pStyle w:val="TextBody"/>
        <w:bidi w:val="0"/>
        <w:spacing w:before="0" w:after="0"/>
        <w:ind w:left="0" w:right="0" w:firstLine="720"/>
        <w:jc w:val="both"/>
        <w:rPr>
          <w:caps w:val="false"/>
          <w:smallCaps w:val="false"/>
        </w:rPr>
      </w:pPr>
      <w:r>
        <w:rPr>
          <w:caps w:val="false"/>
          <w:smallCaps w:val="false"/>
        </w:rPr>
        <w:t> </w:t>
      </w:r>
    </w:p>
    <w:tbl>
      <w:tblPr>
        <w:tblW w:w="6753" w:type="dxa"/>
        <w:jc w:val="left"/>
        <w:tblInd w:w="0" w:type="dxa"/>
        <w:tblLayout w:type="fixed"/>
        <w:tblCellMar>
          <w:top w:w="0" w:type="dxa"/>
          <w:left w:w="0" w:type="dxa"/>
          <w:bottom w:w="0" w:type="dxa"/>
          <w:right w:w="0" w:type="dxa"/>
        </w:tblCellMar>
      </w:tblPr>
      <w:tblGrid>
        <w:gridCol w:w="38"/>
        <w:gridCol w:w="170"/>
        <w:gridCol w:w="654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6545" w:type="dxa"/>
            <w:tcBorders/>
            <w:vAlign w:val="center"/>
          </w:tcPr>
          <w:p>
            <w:pPr>
              <w:pStyle w:val="TableContents"/>
              <w:bidi w:val="0"/>
              <w:spacing w:before="0" w:after="283"/>
              <w:jc w:val="both"/>
              <w:rPr>
                <w:sz w:val="20"/>
              </w:rPr>
            </w:pPr>
            <w:r>
              <w:rPr>
                <w:sz w:val="20"/>
              </w:rPr>
              <w:t>for any transaction from which the director derives an improper personal benefit;</w:t>
            </w:r>
          </w:p>
        </w:tc>
      </w:tr>
    </w:tbl>
    <w:p>
      <w:pPr>
        <w:pStyle w:val="TextBody"/>
        <w:bidi w:val="0"/>
        <w:spacing w:before="0" w:after="0"/>
        <w:ind w:left="0" w:right="0" w:hanging="0"/>
        <w:jc w:val="left"/>
        <w:rPr>
          <w:caps w:val="false"/>
          <w:smallCaps w:val="false"/>
        </w:rPr>
      </w:pPr>
      <w:r>
        <w:rPr>
          <w:caps w:val="false"/>
          <w:smallCaps w:val="false"/>
        </w:rPr>
        <w:t> </w:t>
      </w:r>
    </w:p>
    <w:tbl>
      <w:tblPr>
        <w:tblW w:w="9258" w:type="dxa"/>
        <w:jc w:val="left"/>
        <w:tblInd w:w="0" w:type="dxa"/>
        <w:tblLayout w:type="fixed"/>
        <w:tblCellMar>
          <w:top w:w="0" w:type="dxa"/>
          <w:left w:w="0" w:type="dxa"/>
          <w:bottom w:w="0" w:type="dxa"/>
          <w:right w:w="0" w:type="dxa"/>
        </w:tblCellMar>
      </w:tblPr>
      <w:tblGrid>
        <w:gridCol w:w="38"/>
        <w:gridCol w:w="170"/>
        <w:gridCol w:w="905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050" w:type="dxa"/>
            <w:tcBorders/>
            <w:vAlign w:val="center"/>
          </w:tcPr>
          <w:p>
            <w:pPr>
              <w:pStyle w:val="TableContents"/>
              <w:bidi w:val="0"/>
              <w:spacing w:before="0" w:after="283"/>
              <w:jc w:val="both"/>
              <w:rPr>
                <w:sz w:val="20"/>
              </w:rPr>
            </w:pPr>
            <w:r>
              <w:rPr>
                <w:sz w:val="20"/>
              </w:rPr>
              <w:t>for any act or omission not in good faith or that involves intentional misconduct or a knowing violation of law;</w:t>
            </w:r>
          </w:p>
        </w:tc>
      </w:tr>
    </w:tbl>
    <w:p>
      <w:pPr>
        <w:pStyle w:val="TextBody"/>
        <w:bidi w:val="0"/>
        <w:spacing w:before="0" w:after="0"/>
        <w:ind w:left="0" w:right="0" w:hanging="0"/>
        <w:jc w:val="left"/>
        <w:rPr>
          <w:caps w:val="false"/>
          <w:smallCaps w:val="false"/>
        </w:rPr>
      </w:pPr>
      <w:r>
        <w:rPr>
          <w:caps w:val="false"/>
          <w:smallCaps w:val="false"/>
        </w:rPr>
        <w:t> </w:t>
      </w:r>
    </w:p>
    <w:tbl>
      <w:tblPr>
        <w:tblW w:w="5598" w:type="dxa"/>
        <w:jc w:val="left"/>
        <w:tblInd w:w="0" w:type="dxa"/>
        <w:tblLayout w:type="fixed"/>
        <w:tblCellMar>
          <w:top w:w="0" w:type="dxa"/>
          <w:left w:w="0" w:type="dxa"/>
          <w:bottom w:w="0" w:type="dxa"/>
          <w:right w:w="0" w:type="dxa"/>
        </w:tblCellMar>
      </w:tblPr>
      <w:tblGrid>
        <w:gridCol w:w="38"/>
        <w:gridCol w:w="170"/>
        <w:gridCol w:w="539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5390" w:type="dxa"/>
            <w:tcBorders/>
            <w:vAlign w:val="center"/>
          </w:tcPr>
          <w:p>
            <w:pPr>
              <w:pStyle w:val="TableContents"/>
              <w:bidi w:val="0"/>
              <w:spacing w:before="0" w:after="283"/>
              <w:jc w:val="both"/>
              <w:rPr>
                <w:sz w:val="20"/>
              </w:rPr>
            </w:pPr>
            <w:r>
              <w:rPr>
                <w:sz w:val="20"/>
              </w:rPr>
              <w:t>for any unlawful payment of dividends or redemption of shares; or</w:t>
            </w:r>
          </w:p>
        </w:tc>
      </w:tr>
    </w:tbl>
    <w:p>
      <w:pPr>
        <w:pStyle w:val="TextBody"/>
        <w:bidi w:val="0"/>
        <w:spacing w:before="0" w:after="0"/>
        <w:ind w:left="0" w:right="0" w:hanging="0"/>
        <w:jc w:val="left"/>
        <w:rPr>
          <w:caps w:val="false"/>
          <w:smallCaps w:val="false"/>
        </w:rPr>
      </w:pPr>
      <w:r>
        <w:rPr>
          <w:caps w:val="false"/>
          <w:smallCaps w:val="false"/>
        </w:rPr>
        <w:t> </w:t>
      </w:r>
    </w:p>
    <w:tbl>
      <w:tblPr>
        <w:tblW w:w="6888" w:type="dxa"/>
        <w:jc w:val="left"/>
        <w:tblInd w:w="0" w:type="dxa"/>
        <w:tblLayout w:type="fixed"/>
        <w:tblCellMar>
          <w:top w:w="0" w:type="dxa"/>
          <w:left w:w="0" w:type="dxa"/>
          <w:bottom w:w="0" w:type="dxa"/>
          <w:right w:w="0" w:type="dxa"/>
        </w:tblCellMar>
      </w:tblPr>
      <w:tblGrid>
        <w:gridCol w:w="38"/>
        <w:gridCol w:w="170"/>
        <w:gridCol w:w="668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6680" w:type="dxa"/>
            <w:tcBorders/>
            <w:vAlign w:val="center"/>
          </w:tcPr>
          <w:p>
            <w:pPr>
              <w:pStyle w:val="TableContents"/>
              <w:bidi w:val="0"/>
              <w:spacing w:before="0" w:after="283"/>
              <w:jc w:val="both"/>
              <w:rPr>
                <w:sz w:val="20"/>
              </w:rPr>
            </w:pPr>
            <w:r>
              <w:rPr>
                <w:sz w:val="20"/>
              </w:rPr>
              <w:t>for any breach of a director’s duty of loyalty to the corporation or its stockholders.</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DGCL is amended to authorize corporate action further eliminating or limiting the personal liability of directors, then the liability of the Company’s directors will be eliminated or limited to the fullest extent permitted by the DGCL, as so amended.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17 </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Charter requires the Company to indemnify and advance expenses to the fullest extent permitted by applicable law, to its directors, officers, and agents. The Company maintains a directors’ and officers’ insurance policy pursuant to which the Company’s directors and officers are insured against liability for actions taken in their capacities as directors and officers. Finally, the Charter prohibits any retroactive changes to the rights or protections or increase the liability of any director in effect at the time of the alleged occurrence of any act or omission to act giving rise to liability or indemnification.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the Company has entered into separate indemnification agreements with the Company’s directors and officers. These agreements, among other things, require the Company to indemnify its directors and officers for certain expenses, including attorneys’ fees, judgments, fines, and settlement amounts incurred by a director or officer in any action or proceeding arising out of their services as one of the Company’s directors or officers or any other company or enterprise to which the person provides services at the Company’s request.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believe these provisions in the Charter are necessary to attract and retain qualified persons as directors and officers.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Dissenters’ Rights of Appraisal and Payment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the DGCL, with certain exceptions, the Company’s stockholders will have appraisal rights in connection with a merger or consolidation of the Company. Pursuant to the DGCL, stockholders who properly demand and perfect appraisal rights in connection with such merger or consolidation will have the right to receive payment of the fair value of their shares as determined by the Delaware Court of Chancery.</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Transfer Agent and Registrar</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transfer agent and registrar for our common stock is Continental Stock Transfer &amp; Trust Company.</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State Street 30th Floor</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New York, NY 10004-1571</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212.845.3299</w:t>
      </w:r>
    </w:p>
    <w:p>
      <w:pPr>
        <w:pStyle w:val="TextBody"/>
        <w:bidi w:val="0"/>
        <w:spacing w:before="0" w:after="0"/>
        <w:ind w:left="0" w:right="0" w:firstLine="720"/>
        <w:jc w:val="left"/>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www.continentalstock.com</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18 </w:t>
      </w:r>
    </w:p>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9" w:name="a_008"/>
      <w:bookmarkEnd w:id="9"/>
      <w:r>
        <w:rPr>
          <w:rFonts w:ascii="Times New Roman;Times;Serif" w:hAnsi="Times New Roman;Times;Serif"/>
          <w:b/>
          <w:i w:val="false"/>
          <w:caps w:val="false"/>
          <w:smallCaps w:val="false"/>
          <w:sz w:val="20"/>
        </w:rPr>
        <w:t>PLAN OF DISTRIBUTION</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offer, from time to time, up to $75,000,000 of common stock, preferred stock, warrants, subscription rights, debt securities and/or units consisting of some or all of these securities in one or more underwritten public offerings, at-the-market offerings, negotiated transactions, block trades, best efforts or a combination of these methods.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sell our securities through underwriters or dealers, “at-the-market” to or through a market maker into an existing trading market or otherwise directly to one or more purchasers or through agents or through a combination of methods of sale. The securities may be distributed at a fixed price or prices, which may be changed, market prices prevailing at the time of sale, prices related to the prevailing market prices, or negotiated prices. The prospectus supplement will include the following information:</w:t>
      </w:r>
    </w:p>
    <w:p>
      <w:pPr>
        <w:pStyle w:val="TextBody"/>
        <w:bidi w:val="0"/>
        <w:spacing w:before="0" w:after="0"/>
        <w:ind w:left="0" w:right="0" w:hanging="0"/>
        <w:jc w:val="center"/>
        <w:rPr>
          <w:caps w:val="false"/>
          <w:smallCaps w:val="false"/>
        </w:rPr>
      </w:pPr>
      <w:r>
        <w:rPr>
          <w:caps w:val="false"/>
          <w:smallCaps w:val="false"/>
        </w:rPr>
        <w:t> </w:t>
      </w:r>
    </w:p>
    <w:tbl>
      <w:tblPr>
        <w:tblW w:w="8140" w:type="dxa"/>
        <w:jc w:val="left"/>
        <w:tblInd w:w="0" w:type="dxa"/>
        <w:tblLayout w:type="fixed"/>
        <w:tblCellMar>
          <w:top w:w="0" w:type="dxa"/>
          <w:left w:w="0" w:type="dxa"/>
          <w:bottom w:w="0" w:type="dxa"/>
          <w:right w:w="0" w:type="dxa"/>
        </w:tblCellMar>
      </w:tblPr>
      <w:tblGrid>
        <w:gridCol w:w="75"/>
        <w:gridCol w:w="170"/>
        <w:gridCol w:w="789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7895" w:type="dxa"/>
            <w:tcBorders/>
            <w:vAlign w:val="center"/>
          </w:tcPr>
          <w:p>
            <w:pPr>
              <w:pStyle w:val="TableContents"/>
              <w:bidi w:val="0"/>
              <w:spacing w:before="0" w:after="283"/>
              <w:jc w:val="both"/>
              <w:rPr>
                <w:sz w:val="20"/>
              </w:rPr>
            </w:pPr>
            <w:r>
              <w:rPr>
                <w:sz w:val="20"/>
              </w:rPr>
              <w:t>the terms of the offering;</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789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7895" w:type="dxa"/>
            <w:tcBorders/>
            <w:vAlign w:val="center"/>
          </w:tcPr>
          <w:p>
            <w:pPr>
              <w:pStyle w:val="TableContents"/>
              <w:bidi w:val="0"/>
              <w:spacing w:before="0" w:after="283"/>
              <w:jc w:val="both"/>
              <w:rPr>
                <w:sz w:val="20"/>
              </w:rPr>
            </w:pPr>
            <w:r>
              <w:rPr>
                <w:sz w:val="20"/>
              </w:rPr>
              <w:t>the names of any underwriters or agents;</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789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7895" w:type="dxa"/>
            <w:tcBorders/>
            <w:vAlign w:val="center"/>
          </w:tcPr>
          <w:p>
            <w:pPr>
              <w:pStyle w:val="TableContents"/>
              <w:bidi w:val="0"/>
              <w:spacing w:before="0" w:after="283"/>
              <w:jc w:val="both"/>
              <w:rPr>
                <w:sz w:val="20"/>
              </w:rPr>
            </w:pPr>
            <w:r>
              <w:rPr>
                <w:sz w:val="20"/>
              </w:rPr>
              <w:t>the name or names of any managing underwriter or underwriters;</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789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7895" w:type="dxa"/>
            <w:tcBorders/>
            <w:vAlign w:val="center"/>
          </w:tcPr>
          <w:p>
            <w:pPr>
              <w:pStyle w:val="TableContents"/>
              <w:bidi w:val="0"/>
              <w:spacing w:before="0" w:after="283"/>
              <w:jc w:val="both"/>
              <w:rPr>
                <w:sz w:val="20"/>
              </w:rPr>
            </w:pPr>
            <w:r>
              <w:rPr>
                <w:sz w:val="20"/>
              </w:rPr>
              <w:t>the purchase price of the securities;</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789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7895" w:type="dxa"/>
            <w:tcBorders/>
            <w:vAlign w:val="center"/>
          </w:tcPr>
          <w:p>
            <w:pPr>
              <w:pStyle w:val="TableContents"/>
              <w:bidi w:val="0"/>
              <w:spacing w:before="0" w:after="283"/>
              <w:jc w:val="both"/>
              <w:rPr>
                <w:sz w:val="20"/>
              </w:rPr>
            </w:pPr>
            <w:r>
              <w:rPr>
                <w:sz w:val="20"/>
              </w:rPr>
              <w:t>any over-allotment options under which underwriters may purchase additional securities from us;</w:t>
            </w:r>
          </w:p>
        </w:tc>
      </w:tr>
    </w:tbl>
    <w:p>
      <w:pPr>
        <w:pStyle w:val="TextBody"/>
        <w:bidi w:val="0"/>
        <w:spacing w:before="0" w:after="0"/>
        <w:ind w:left="0" w:right="0" w:hanging="0"/>
        <w:jc w:val="center"/>
        <w:rPr>
          <w:caps w:val="false"/>
          <w:smallCaps w:val="false"/>
        </w:rPr>
      </w:pPr>
      <w:r>
        <w:rPr>
          <w:caps w:val="false"/>
          <w:smallCaps w:val="false"/>
        </w:rPr>
        <w:t> </w:t>
      </w:r>
    </w:p>
    <w:tbl>
      <w:tblPr>
        <w:tblW w:w="8320" w:type="dxa"/>
        <w:jc w:val="left"/>
        <w:tblInd w:w="0" w:type="dxa"/>
        <w:tblLayout w:type="fixed"/>
        <w:tblCellMar>
          <w:top w:w="0" w:type="dxa"/>
          <w:left w:w="0" w:type="dxa"/>
          <w:bottom w:w="0" w:type="dxa"/>
          <w:right w:w="0" w:type="dxa"/>
        </w:tblCellMar>
      </w:tblPr>
      <w:tblGrid>
        <w:gridCol w:w="75"/>
        <w:gridCol w:w="170"/>
        <w:gridCol w:w="807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8075" w:type="dxa"/>
            <w:tcBorders/>
            <w:vAlign w:val="center"/>
          </w:tcPr>
          <w:p>
            <w:pPr>
              <w:pStyle w:val="TableContents"/>
              <w:bidi w:val="0"/>
              <w:spacing w:before="0" w:after="283"/>
              <w:jc w:val="left"/>
              <w:rPr>
                <w:sz w:val="20"/>
              </w:rPr>
            </w:pPr>
            <w:r>
              <w:rPr>
                <w:sz w:val="20"/>
              </w:rPr>
              <w:t>the net proceeds from the sale of the securities;</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807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8075" w:type="dxa"/>
            <w:tcBorders/>
            <w:vAlign w:val="center"/>
          </w:tcPr>
          <w:p>
            <w:pPr>
              <w:pStyle w:val="TableContents"/>
              <w:bidi w:val="0"/>
              <w:spacing w:before="0" w:after="283"/>
              <w:jc w:val="left"/>
              <w:rPr>
                <w:sz w:val="20"/>
              </w:rPr>
            </w:pPr>
            <w:r>
              <w:rPr>
                <w:sz w:val="20"/>
              </w:rPr>
              <w:t>any delayed delivery arrangements;</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807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8075" w:type="dxa"/>
            <w:tcBorders/>
            <w:vAlign w:val="center"/>
          </w:tcPr>
          <w:p>
            <w:pPr>
              <w:pStyle w:val="TableContents"/>
              <w:bidi w:val="0"/>
              <w:spacing w:before="0" w:after="283"/>
              <w:jc w:val="left"/>
              <w:rPr>
                <w:sz w:val="20"/>
              </w:rPr>
            </w:pPr>
            <w:r>
              <w:rPr>
                <w:sz w:val="20"/>
              </w:rPr>
              <w:t>any underwriting discounts, commissions and other items constituting underwriters’ compensation;</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807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8075" w:type="dxa"/>
            <w:tcBorders/>
            <w:vAlign w:val="center"/>
          </w:tcPr>
          <w:p>
            <w:pPr>
              <w:pStyle w:val="TableContents"/>
              <w:bidi w:val="0"/>
              <w:spacing w:before="0" w:after="283"/>
              <w:jc w:val="left"/>
              <w:rPr>
                <w:sz w:val="20"/>
              </w:rPr>
            </w:pPr>
            <w:r>
              <w:rPr>
                <w:sz w:val="20"/>
              </w:rPr>
              <w:t>any offering price;</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807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8075" w:type="dxa"/>
            <w:tcBorders/>
            <w:vAlign w:val="center"/>
          </w:tcPr>
          <w:p>
            <w:pPr>
              <w:pStyle w:val="TableContents"/>
              <w:bidi w:val="0"/>
              <w:spacing w:before="0" w:after="283"/>
              <w:jc w:val="left"/>
              <w:rPr>
                <w:sz w:val="20"/>
              </w:rPr>
            </w:pPr>
            <w:r>
              <w:rPr>
                <w:sz w:val="20"/>
              </w:rPr>
              <w:t>any discounts or concessions allowed or reallowed or paid to dealers;</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807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8075" w:type="dxa"/>
            <w:tcBorders/>
            <w:vAlign w:val="center"/>
          </w:tcPr>
          <w:p>
            <w:pPr>
              <w:pStyle w:val="TableContents"/>
              <w:bidi w:val="0"/>
              <w:spacing w:before="0" w:after="283"/>
              <w:jc w:val="left"/>
              <w:rPr>
                <w:sz w:val="20"/>
              </w:rPr>
            </w:pPr>
            <w:r>
              <w:rPr>
                <w:sz w:val="20"/>
              </w:rPr>
              <w:t>any commissions paid to agents; and</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807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8075" w:type="dxa"/>
            <w:tcBorders/>
            <w:vAlign w:val="center"/>
          </w:tcPr>
          <w:p>
            <w:pPr>
              <w:pStyle w:val="TableContents"/>
              <w:bidi w:val="0"/>
              <w:spacing w:before="0" w:after="283"/>
              <w:jc w:val="left"/>
              <w:rPr>
                <w:sz w:val="20"/>
              </w:rPr>
            </w:pPr>
            <w:r>
              <w:rPr>
                <w:sz w:val="20"/>
              </w:rPr>
              <w:t>any securities exchange or market on which the securities may be listed.</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Sale Through Underwriters or Dealers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Only underwriters named in the prospectus supplement are underwriters of the securities offered by the prospectus supplement. If underwriters are used in the sale, the underwriters will acquire the securities for their own account, including through underwriting, purchase, security lending or repurchase agreements with us. The underwriters may resell the securities from time to time in one or more transactions, including negotiated transactions. Underwriters may sell the securities in order to facilitate transactions in any of our other securities (described in this prospectus or otherwise), including other public or private transactions and short sales. Underwriters may offer securities to the public either through underwriting syndicates represented by one or more managing underwriters or directly by one or more firms acting as underwriters. Unless otherwise indicated in the prospectus supplement, the obligations of the underwriters to purchase the securities will be subject to certain conditions, and the underwriters will be obligated to purchase all the offered securities if they purchase any of them. The underwriters may change from time to time any offering price and any discounts or concessions allowed or reallowed or paid to dealers.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dealers are used in the sale of securities offered through this prospectus, we will sell the securities to them as principals. They may then resell those securities to the public at varying prices determined by the dealers at the time of resale. The prospectus supplement will include the names of the dealers and the terms of the transaction.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will provide in the applicable prospectus supplement any compensation we will pay to underwriters, dealers, or agents in connection with the offering of the securities, and any discounts, concessions or commissions allowed by underwriters to participating dealers.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19 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Direct Sales and Sales Through Agents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sell the securities offered through this prospectus directly. In this case, no underwriters or agents would be involved. Such securities may also be sold through agents designated from time to time. The prospectus supplement will name any agent involved in the offer or sale of the offered securities and will describe any commissions payable to the agent. Unless otherwise indicated in the prospectus supplement, any agent will agree to use its reasonable best efforts to solicit purchases for the period of its appointment.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sell the securities directly to institutional investors or others who may be deemed to be underwriters within the meaning of the Securities Act with respect to any sale of those securities. The terms of any such sales will be described in the prospectus supplement.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Delayed Delivery Contracts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prospectus supplement indicates, we may authorize agents, underwriters, or dealers to solicit offers from certain types of institutions to purchase securities at the offering price under delayed delivery contracts. These contracts would provide for payment and delivery on a specified date in the future. The contracts would be subject only to those conditions described in the prospectus supplement. The applicable prospectus supplement will describe the commission payable for solicitation of those contracts.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Market Making, Stabilization and Other Transactions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Unless the applicable prospectus supplement states otherwise, other than our common stock, all securities we offer under this prospectus will be a new issue and will have no established trading market. We may elect to list offered securities on an exchange or in the over-the-counter market. Any underwriters that we use in the sale of offered securities may make a market in such securities but may discontinue such market making at any time without notice. Therefore, we cannot assure you that the securities will have a liquid trading market.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underwriter may also engage in stabilizing transactions, syndicate covering transactions and penalty bids in accordance with Rule 104 under the Securities Exchange Act. Stabilizing transactions involve bids to purchase the underlying security in the open market for the purpose of pegging, fixing or maintaining the price of the securities. Syndicate covering transactions involve purchases of the securities in the open market after the distribution has been completed in order to cover syndicate short positions.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Penalty bids permit the underwriters to reclaim a selling concession from a syndicate member when the securities originally sold by the syndicate member are purchased in a syndicate covering transaction to cover syndicate short positions. Stabilizing transactions, syndicate covering transactions and penalty bids may cause the price of the securities to be higher than it would be in the absence of the transactions. The underwriters may, if they commence these transactions, discontinue them at any time.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General Information</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Agents, underwriters, and dealers may be entitled, under agreements entered into with us, to indemnification by us against certain liabilities, including liabilities under the Securities Act. Our agents, underwriters, and dealers, or their affiliates, may be customers of, engage in transactions with or perform services for us, in the ordinary course of business.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20 </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10" w:name="a_009"/>
      <w:bookmarkEnd w:id="10"/>
      <w:r>
        <w:rPr>
          <w:rFonts w:ascii="Times New Roman;Times;Serif" w:hAnsi="Times New Roman;Times;Serif"/>
          <w:b/>
          <w:i w:val="false"/>
          <w:caps w:val="false"/>
          <w:smallCaps w:val="false"/>
          <w:sz w:val="20"/>
        </w:rPr>
        <w:t>LEGAL MATTERS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Unless otherwise indicated in the applicable prospectus supplement, the validity of the securities offered by this prospectus, and any supplement thereto, will be passed upon for us by Hunter Taubman Fischer &amp; Li LLC, New York, NY. The legality of the securities for any underwriters, dealers or agents will be passed upon by counsel as may be specified in the applicable prospectus supplement.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11" w:name="a_010"/>
      <w:bookmarkEnd w:id="11"/>
      <w:r>
        <w:rPr>
          <w:rFonts w:ascii="Times New Roman;Times;Serif" w:hAnsi="Times New Roman;Times;Serif"/>
          <w:b/>
          <w:i w:val="false"/>
          <w:caps w:val="false"/>
          <w:smallCaps w:val="false"/>
          <w:sz w:val="20"/>
        </w:rPr>
        <w:t>EXPERTS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consolidated balance sheets of Niki BioSolutions, Inc. (formerly known as Aptorum Group Limited) as of December 31, 2025 and 2024, the related consolidated statements of operations and comprehensive loss, changes in equity and cash flows for each of the three years in the period ended December 31, 2025, and the related notes, incorporated by reference in this prospectus have been so included in reliance on the report (which contains an explanatory paragraph relating to the Company’s ability to continue as a </w:t>
      </w:r>
      <w:r>
        <w:rPr>
          <w:rFonts w:ascii="Times New Roman;Times;Serif" w:hAnsi="Times New Roman;Times;Serif"/>
          <w:b w:val="false"/>
          <w:i/>
          <w:caps w:val="false"/>
          <w:smallCaps w:val="false"/>
          <w:sz w:val="20"/>
        </w:rPr>
        <w:t>going concern</w:t>
      </w:r>
      <w:r>
        <w:rPr>
          <w:rFonts w:ascii="Times New Roman;Times;Serif" w:hAnsi="Times New Roman;Times;Serif"/>
          <w:b w:val="false"/>
          <w:i w:val="false"/>
          <w:caps w:val="false"/>
          <w:smallCaps w:val="false"/>
          <w:sz w:val="20"/>
        </w:rPr>
        <w:t> as described in Note 2 to the financial statements) of Marcum Asia CPAs LLP, an independent registered public accounting firm given on the authority of such firm as experts in accounting and auditing.</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consolidated balance sheets of DiamiR Biosciences Corp. as of May 31, 2026 and 2025, and the related consolidated statements of operations, stockholders’ deficit and cash flows for each of the two years in the period ended May 31, 2026, included herein, have been audited by CBIZ CPAs P.C., independent registered public accounting firm, as set forth in their report appearing elsewhere herein, which contains an explanatory paragraph relating to substantial doubt about the ability of DiamiR Biosciences Corp. to continue as a going concern as described in Note 2 to the financial statements, and are included in reliance upon such report given on the authority of such firm as experts in accounting and auditing.</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Material Changes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None.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12" w:name="a_011"/>
      <w:bookmarkEnd w:id="12"/>
      <w:r>
        <w:rPr>
          <w:rFonts w:ascii="Times New Roman;Times;Serif" w:hAnsi="Times New Roman;Times;Serif"/>
          <w:b/>
          <w:i w:val="false"/>
          <w:caps w:val="false"/>
          <w:smallCaps w:val="false"/>
          <w:sz w:val="20"/>
        </w:rPr>
        <w:t>WHERE YOU CAN FIND ADDITIONAL INFORMATION</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file annual, quarterly, and special reports, along with other information with the SEC. Our SEC filings are available to the public over the Internet at the SEC’s website at http://www.sec.gov; you can also find our filings on our company website: www.aptorumgroup.com. You may also read and copy any document we file at the SEC’s Public Reference Room at 100 F Street, NE, Washington, D.C. 20549. Please call the SEC at 1-800-SEC-0330 for further information on the Public Reference Room. The information on our website is not intended to form a part of or be incorporated by reference into this prospectus.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prospectus is part of a registration statement on Form S-3 that we filed with the SEC to register the securities offered hereby under the Securities Act of 1933, as amended. This prospectus does not contain all of the information included in the registration statement, including certain exhibits and schedules. You may obtain the registration statement and exhibits to the registration statement from the SEC at the address listed above or from the SEC’s internet site.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21 </w:t>
      </w:r>
    </w:p>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13" w:name="a_012"/>
      <w:bookmarkEnd w:id="13"/>
      <w:r>
        <w:rPr>
          <w:rFonts w:ascii="Times New Roman;Times;Serif" w:hAnsi="Times New Roman;Times;Serif"/>
          <w:b/>
          <w:i w:val="false"/>
          <w:caps w:val="false"/>
          <w:smallCaps w:val="false"/>
          <w:sz w:val="20"/>
        </w:rPr>
        <w:t>INFORMATION INCORPORATED BY REFERENCE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SEC allows us to incorporate by reference the information we file with them under certain conditions, which means that we can disclose important information to you by referring you to those documents. The information incorporated by reference is considered to be a part of this prospectus and any information that we file subsequent to this prospectus with the SEC will automatically update and supersede this information. The documents we are incorporating by reference are as follows:</w:t>
      </w:r>
    </w:p>
    <w:p>
      <w:pPr>
        <w:pStyle w:val="TextBody"/>
        <w:bidi w:val="0"/>
        <w:spacing w:before="0" w:after="0"/>
        <w:ind w:left="0" w:right="0" w:hanging="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pPr>
            <w:r>
              <w:rPr>
                <w:rFonts w:ascii="Times New Roman;Times;Serif" w:hAnsi="Times New Roman;Times;Serif"/>
                <w:sz w:val="20"/>
              </w:rPr>
              <w:t xml:space="preserve">the Company’s Annual Report on Form 20-F for the years ended </w:t>
            </w:r>
            <w:hyperlink r:id="rId2">
              <w:r>
                <w:rPr>
                  <w:rStyle w:val="InternetLink"/>
                  <w:rFonts w:ascii="Times New Roman;Times;Serif" w:hAnsi="Times New Roman;Times;Serif"/>
                  <w:sz w:val="20"/>
                </w:rPr>
                <w:t>December 31, 2025</w:t>
              </w:r>
            </w:hyperlink>
            <w:r>
              <w:rPr>
                <w:rFonts w:ascii="Times New Roman;Times;Serif" w:hAnsi="Times New Roman;Times;Serif"/>
                <w:sz w:val="20"/>
              </w:rPr>
              <w:t xml:space="preserve"> and </w:t>
            </w:r>
            <w:hyperlink r:id="rId3">
              <w:r>
                <w:rPr>
                  <w:rStyle w:val="InternetLink"/>
                  <w:rFonts w:ascii="Times New Roman;Times;Serif" w:hAnsi="Times New Roman;Times;Serif"/>
                  <w:sz w:val="20"/>
                </w:rPr>
                <w:t>2024</w:t>
              </w:r>
            </w:hyperlink>
            <w:r>
              <w:rPr>
                <w:rFonts w:ascii="Times New Roman;Times;Serif" w:hAnsi="Times New Roman;Times;Serif"/>
                <w:sz w:val="20"/>
              </w:rPr>
              <w:t>, as filed with the SEC on March 27, 2026;</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pPr>
            <w:r>
              <w:rPr>
                <w:rFonts w:ascii="Times New Roman;Times;Serif" w:hAnsi="Times New Roman;Times;Serif"/>
                <w:sz w:val="20"/>
              </w:rPr>
              <w:t xml:space="preserve">the Company’s Current Reports on Form 8-K or 8-K/A filed on </w:t>
            </w:r>
            <w:hyperlink r:id="rId4">
              <w:r>
                <w:rPr>
                  <w:rStyle w:val="InternetLink"/>
                  <w:rFonts w:ascii="Times New Roman;Times;Serif" w:hAnsi="Times New Roman;Times;Serif"/>
                  <w:sz w:val="20"/>
                </w:rPr>
                <w:t>July 20, 2026</w:t>
              </w:r>
            </w:hyperlink>
            <w:r>
              <w:rPr>
                <w:rFonts w:ascii="Times New Roman;Times;Serif" w:hAnsi="Times New Roman;Times;Serif"/>
                <w:sz w:val="20"/>
              </w:rPr>
              <w:t xml:space="preserve">, </w:t>
            </w:r>
            <w:hyperlink r:id="rId5">
              <w:r>
                <w:rPr>
                  <w:rStyle w:val="InternetLink"/>
                  <w:rFonts w:ascii="Times New Roman;Times;Serif" w:hAnsi="Times New Roman;Times;Serif"/>
                  <w:sz w:val="20"/>
                </w:rPr>
                <w:t>August 21, 2026</w:t>
              </w:r>
            </w:hyperlink>
            <w:r>
              <w:rPr>
                <w:rFonts w:ascii="Times New Roman;Times;Serif" w:hAnsi="Times New Roman;Times;Serif"/>
                <w:sz w:val="20"/>
              </w:rPr>
              <w:t xml:space="preserve"> and </w:t>
            </w:r>
            <w:hyperlink r:id="rId6">
              <w:r>
                <w:rPr>
                  <w:rStyle w:val="InternetLink"/>
                  <w:rFonts w:ascii="Times New Roman;Times;Serif" w:hAnsi="Times New Roman;Times;Serif"/>
                  <w:sz w:val="20"/>
                </w:rPr>
                <w:t>August 21, 2026</w:t>
              </w:r>
            </w:hyperlink>
            <w:r>
              <w:rPr>
                <w:rFonts w:ascii="Times New Roman;Times;Serif" w:hAnsi="Times New Roman;Times;Serif"/>
                <w:sz w:val="20"/>
              </w:rPr>
              <w:t xml:space="preserve"> (except for the portions of such reports deemed to be furnished and not filed); and</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pPr>
            <w:r>
              <w:rPr>
                <w:rFonts w:ascii="Times New Roman;Times;Serif" w:hAnsi="Times New Roman;Times;Serif"/>
                <w:sz w:val="20"/>
              </w:rPr>
              <w:t xml:space="preserve">the Company’s Current Reports on Form 6-K or 6-K/A filed on </w:t>
            </w:r>
            <w:hyperlink r:id="rId7">
              <w:r>
                <w:rPr>
                  <w:rStyle w:val="InternetLink"/>
                  <w:rFonts w:ascii="Times New Roman;Times;Serif" w:hAnsi="Times New Roman;Times;Serif"/>
                  <w:sz w:val="20"/>
                </w:rPr>
                <w:t>January 22, 2026</w:t>
              </w:r>
            </w:hyperlink>
            <w:r>
              <w:rPr>
                <w:rFonts w:ascii="Times New Roman;Times;Serif" w:hAnsi="Times New Roman;Times;Serif"/>
                <w:sz w:val="20"/>
              </w:rPr>
              <w:t xml:space="preserve">, </w:t>
            </w:r>
            <w:hyperlink r:id="rId8">
              <w:r>
                <w:rPr>
                  <w:rStyle w:val="InternetLink"/>
                  <w:rFonts w:ascii="Times New Roman;Times;Serif" w:hAnsi="Times New Roman;Times;Serif"/>
                  <w:sz w:val="20"/>
                </w:rPr>
                <w:t>February 6, 2026</w:t>
              </w:r>
            </w:hyperlink>
            <w:r>
              <w:rPr>
                <w:rFonts w:ascii="Times New Roman;Times;Serif" w:hAnsi="Times New Roman;Times;Serif"/>
                <w:sz w:val="20"/>
              </w:rPr>
              <w:t xml:space="preserve">, </w:t>
            </w:r>
            <w:hyperlink r:id="rId9">
              <w:r>
                <w:rPr>
                  <w:rStyle w:val="InternetLink"/>
                  <w:rFonts w:ascii="Times New Roman;Times;Serif" w:hAnsi="Times New Roman;Times;Serif"/>
                  <w:sz w:val="20"/>
                </w:rPr>
                <w:t>March 6, 2026</w:t>
              </w:r>
            </w:hyperlink>
            <w:r>
              <w:rPr>
                <w:rFonts w:ascii="Times New Roman;Times;Serif" w:hAnsi="Times New Roman;Times;Serif"/>
                <w:sz w:val="20"/>
              </w:rPr>
              <w:t xml:space="preserve">, </w:t>
            </w:r>
            <w:hyperlink r:id="rId10">
              <w:r>
                <w:rPr>
                  <w:rStyle w:val="InternetLink"/>
                  <w:rFonts w:ascii="Times New Roman;Times;Serif" w:hAnsi="Times New Roman;Times;Serif"/>
                  <w:sz w:val="20"/>
                </w:rPr>
                <w:t>March 11, 2026</w:t>
              </w:r>
            </w:hyperlink>
            <w:r>
              <w:rPr>
                <w:rFonts w:ascii="Times New Roman;Times;Serif" w:hAnsi="Times New Roman;Times;Serif"/>
                <w:sz w:val="20"/>
              </w:rPr>
              <w:t xml:space="preserve">, </w:t>
            </w:r>
            <w:hyperlink r:id="rId11">
              <w:r>
                <w:rPr>
                  <w:rStyle w:val="InternetLink"/>
                  <w:rFonts w:ascii="Times New Roman;Times;Serif" w:hAnsi="Times New Roman;Times;Serif"/>
                  <w:sz w:val="20"/>
                </w:rPr>
                <w:t>March 26, 2026</w:t>
              </w:r>
            </w:hyperlink>
            <w:r>
              <w:rPr>
                <w:rFonts w:ascii="Times New Roman;Times;Serif" w:hAnsi="Times New Roman;Times;Serif"/>
                <w:sz w:val="20"/>
              </w:rPr>
              <w:t xml:space="preserve">, </w:t>
            </w:r>
            <w:hyperlink r:id="rId12">
              <w:r>
                <w:rPr>
                  <w:rStyle w:val="InternetLink"/>
                  <w:rFonts w:ascii="Times New Roman;Times;Serif" w:hAnsi="Times New Roman;Times;Serif"/>
                  <w:sz w:val="20"/>
                </w:rPr>
                <w:t>March 31, 2026</w:t>
              </w:r>
            </w:hyperlink>
            <w:r>
              <w:rPr>
                <w:rFonts w:ascii="Times New Roman;Times;Serif" w:hAnsi="Times New Roman;Times;Serif"/>
                <w:sz w:val="20"/>
              </w:rPr>
              <w:t xml:space="preserve">, </w:t>
            </w:r>
            <w:hyperlink r:id="rId13">
              <w:r>
                <w:rPr>
                  <w:rStyle w:val="InternetLink"/>
                  <w:rFonts w:ascii="Times New Roman;Times;Serif" w:hAnsi="Times New Roman;Times;Serif"/>
                  <w:sz w:val="20"/>
                </w:rPr>
                <w:t>May 14, 2026</w:t>
              </w:r>
            </w:hyperlink>
            <w:r>
              <w:rPr>
                <w:rFonts w:ascii="Times New Roman;Times;Serif" w:hAnsi="Times New Roman;Times;Serif"/>
                <w:sz w:val="20"/>
              </w:rPr>
              <w:t xml:space="preserve">, </w:t>
            </w:r>
            <w:hyperlink r:id="rId14">
              <w:r>
                <w:rPr>
                  <w:rStyle w:val="InternetLink"/>
                  <w:rFonts w:ascii="Times New Roman;Times;Serif" w:hAnsi="Times New Roman;Times;Serif"/>
                  <w:sz w:val="20"/>
                </w:rPr>
                <w:t>June 10, 2026</w:t>
              </w:r>
            </w:hyperlink>
            <w:r>
              <w:rPr>
                <w:rFonts w:ascii="Times New Roman;Times;Serif" w:hAnsi="Times New Roman;Times;Serif"/>
                <w:sz w:val="20"/>
              </w:rPr>
              <w:t xml:space="preserve">, and </w:t>
            </w:r>
            <w:hyperlink r:id="rId15">
              <w:r>
                <w:rPr>
                  <w:rStyle w:val="InternetLink"/>
                  <w:rFonts w:ascii="Times New Roman;Times;Serif" w:hAnsi="Times New Roman;Times;Serif"/>
                  <w:sz w:val="20"/>
                </w:rPr>
                <w:t>June 22, 2026</w:t>
              </w:r>
            </w:hyperlink>
            <w:r>
              <w:rPr>
                <w:rFonts w:ascii="Times New Roman;Times;Serif" w:hAnsi="Times New Roman;Times;Serif"/>
                <w:sz w:val="20"/>
              </w:rPr>
              <w:t xml:space="preserve">. </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Information in the documents referred to above that are incorporated by reference in this prospectus were filed prior to the 1-for-10 reverse split of our common stock that was effective on July 20, 2026, and do not reflect the effects of such reverse stock split.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documents filed by us pursuant to Sections 13(a), 13(c), 14 or 15(d) of the Exchange Act after the initial filing date of this prospectus, through the date declared effective, until the termination of the offering of securities contemplated by this prospectus shall be deemed to be incorporated by reference into this prospectus. These documents that we file later with the SEC and that are incorporated by reference in this prospectus will automatically update information contained in this prospectus or that was previously incorporated by reference into this prospectus. You will be deemed to have notice of all information incorporated by reference in this prospectus as if that information was included in this prospectus.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will provide to any person, including any beneficial owner, to whom this prospectus is delivered, a copy of any or all of the information that has been incorporated by reference in this prospectus but not delivered with this prospectus (excluding exhibits, unless the exhibits are specifically incorporated), at no cost to the requesting party, upon request to us in writing or by telephone using the following information:</w:t>
      </w:r>
    </w:p>
    <w:p>
      <w:pPr>
        <w:pStyle w:val="TextBody"/>
        <w:shd w:fill="FFFFFF" w:val="clear"/>
        <w:bidi w:val="0"/>
        <w:spacing w:before="0" w:after="0"/>
        <w:ind w:left="0" w:right="0" w:hanging="0"/>
        <w:jc w:val="center"/>
        <w:rPr>
          <w:caps w:val="false"/>
          <w:smallCaps w:val="false"/>
        </w:rPr>
      </w:pPr>
      <w:r>
        <w:rPr>
          <w:caps w:val="false"/>
          <w:smallCaps w:val="false"/>
        </w:rPr>
        <w:t> </w:t>
      </w:r>
    </w:p>
    <w:p>
      <w:pPr>
        <w:pStyle w:val="TextBody"/>
        <w:shd w:fill="FFFFFF" w:val="clear"/>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Ian Huen</w:t>
      </w:r>
    </w:p>
    <w:p>
      <w:pPr>
        <w:pStyle w:val="TextBody"/>
        <w:shd w:fill="FFFFFF" w:val="clear"/>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Chief Executive Officer</w:t>
      </w:r>
    </w:p>
    <w:p>
      <w:pPr>
        <w:pStyle w:val="TextBody"/>
        <w:shd w:fill="FFFFFF" w:val="clear"/>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Niki BioSolutions, Inc.</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116 Village Boulevard, Suite 200</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Princeton, NJ 08540</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Tel: 609-951-2222</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Disclosure of Commission Position on Indemnification for Securities Act Liabilities.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Insofar as indemnification for liabilities arising under the Securities Act may be permitted to our directors, officers and controlling persons pursuant to the foregoing provisions, or otherwise, we have been advised that in the opinion of the SEC such indemnification is against public policy as expressed in the Securities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we will, unless in the opinion of our counsel the matter has been settled by controlling precedent, submit to a court of appropriate jurisdiction the question whether such indemnification by us is against public policy as expressed in the Securities Act and will be governed by the final adjudication of such issue.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22 </w:t>
      </w:r>
    </w:p>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Niki BioSolutions, Inc.</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$75,000,000</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Common Stock</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Preferred Stock</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Debt Securities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Warrants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Rights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Units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August 27, 2026</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PART II</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INFORMATION NOT REQUIRED IN PROSPECTUS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Item 14. Other Expenses of Issuance and Distribution.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sets forth the costs and expenses payable by the registrant in connection with this offering, other than underwriting commissions and discounts, all of which are estimated except for the SEC registration fee.</w:t>
      </w:r>
    </w:p>
    <w:p>
      <w:pPr>
        <w:pStyle w:val="TextBody"/>
        <w:bidi w:val="0"/>
        <w:spacing w:before="0" w:after="0"/>
        <w:ind w:left="0" w:right="0" w:firstLine="720"/>
        <w:jc w:val="both"/>
        <w:rPr>
          <w:caps w:val="false"/>
          <w:smallCaps w:val="false"/>
        </w:rPr>
      </w:pPr>
      <w:r>
        <w:rPr>
          <w:caps w:val="false"/>
          <w:smallCaps w:val="false"/>
        </w:rPr>
        <w:t> </w:t>
      </w:r>
    </w:p>
    <w:tbl>
      <w:tblPr>
        <w:tblW w:w="6315" w:type="dxa"/>
        <w:jc w:val="left"/>
        <w:tblInd w:w="0" w:type="dxa"/>
        <w:tblLayout w:type="fixed"/>
        <w:tblCellMar>
          <w:top w:w="0" w:type="dxa"/>
          <w:left w:w="0" w:type="dxa"/>
          <w:bottom w:w="0" w:type="dxa"/>
          <w:right w:w="0" w:type="dxa"/>
        </w:tblCellMar>
      </w:tblPr>
      <w:tblGrid>
        <w:gridCol w:w="5060"/>
        <w:gridCol w:w="60"/>
        <w:gridCol w:w="140"/>
        <w:gridCol w:w="980"/>
        <w:gridCol w:w="75"/>
      </w:tblGrid>
      <w:tr>
        <w:trPr/>
        <w:tc>
          <w:tcPr>
            <w:tcW w:w="5060" w:type="dxa"/>
            <w:tcBorders/>
            <w:shd w:fill="CCEEFF" w:val="clear"/>
            <w:vAlign w:val="center"/>
          </w:tcPr>
          <w:p>
            <w:pPr>
              <w:pStyle w:val="TableContents"/>
              <w:bidi w:val="0"/>
              <w:spacing w:before="0" w:after="283"/>
              <w:jc w:val="left"/>
              <w:rPr/>
            </w:pPr>
            <w:r>
              <w:rPr/>
              <w:t>Securities and Exchange Commission registration fee</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980" w:type="dxa"/>
            <w:tcBorders/>
            <w:shd w:fill="CCEEFF" w:val="clear"/>
            <w:vAlign w:val="center"/>
          </w:tcPr>
          <w:p>
            <w:pPr>
              <w:pStyle w:val="TableContents"/>
              <w:bidi w:val="0"/>
              <w:spacing w:before="0" w:after="283"/>
              <w:jc w:val="right"/>
              <w:rPr/>
            </w:pPr>
            <w:r>
              <w:rPr/>
              <w:t>10,357.50</w:t>
            </w:r>
          </w:p>
        </w:tc>
        <w:tc>
          <w:tcPr>
            <w:tcW w:w="75" w:type="dxa"/>
            <w:tcBorders/>
            <w:shd w:fill="CCEEFF" w:val="clear"/>
            <w:vAlign w:val="center"/>
          </w:tcPr>
          <w:p>
            <w:pPr>
              <w:pStyle w:val="TableContents"/>
              <w:bidi w:val="0"/>
              <w:spacing w:before="0" w:after="283"/>
              <w:jc w:val="left"/>
              <w:rPr/>
            </w:pPr>
            <w:r>
              <w:rPr/>
              <w:t> </w:t>
            </w:r>
          </w:p>
        </w:tc>
      </w:tr>
      <w:tr>
        <w:trPr/>
        <w:tc>
          <w:tcPr>
            <w:tcW w:w="5060" w:type="dxa"/>
            <w:tcBorders/>
            <w:shd w:fill="FFFFFF" w:val="clear"/>
            <w:vAlign w:val="center"/>
          </w:tcPr>
          <w:p>
            <w:pPr>
              <w:pStyle w:val="TableContents"/>
              <w:bidi w:val="0"/>
              <w:spacing w:before="0" w:after="283"/>
              <w:jc w:val="left"/>
              <w:rPr/>
            </w:pPr>
            <w:r>
              <w:rPr/>
              <w:t>Accounting fees and expenses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w:t>
            </w:r>
          </w:p>
        </w:tc>
        <w:tc>
          <w:tcPr>
            <w:tcW w:w="980" w:type="dxa"/>
            <w:tcBorders/>
            <w:shd w:fill="FFFFFF" w:val="clear"/>
            <w:vAlign w:val="center"/>
          </w:tcPr>
          <w:p>
            <w:pPr>
              <w:pStyle w:val="TableContents"/>
              <w:bidi w:val="0"/>
              <w:spacing w:before="0" w:after="283"/>
              <w:jc w:val="right"/>
              <w:rPr/>
            </w:pPr>
            <w:r>
              <w:rPr/>
              <w:t>15,450</w:t>
            </w:r>
          </w:p>
        </w:tc>
        <w:tc>
          <w:tcPr>
            <w:tcW w:w="75" w:type="dxa"/>
            <w:tcBorders/>
            <w:shd w:fill="FFFFFF" w:val="clear"/>
            <w:vAlign w:val="center"/>
          </w:tcPr>
          <w:p>
            <w:pPr>
              <w:pStyle w:val="TableContents"/>
              <w:bidi w:val="0"/>
              <w:spacing w:before="0" w:after="283"/>
              <w:jc w:val="left"/>
              <w:rPr/>
            </w:pPr>
            <w:r>
              <w:rPr/>
              <w:t> </w:t>
            </w:r>
          </w:p>
        </w:tc>
      </w:tr>
      <w:tr>
        <w:trPr/>
        <w:tc>
          <w:tcPr>
            <w:tcW w:w="5060" w:type="dxa"/>
            <w:tcBorders/>
            <w:shd w:fill="CCEEFF" w:val="clear"/>
            <w:vAlign w:val="center"/>
          </w:tcPr>
          <w:p>
            <w:pPr>
              <w:pStyle w:val="TableContents"/>
              <w:bidi w:val="0"/>
              <w:spacing w:before="0" w:after="283"/>
              <w:jc w:val="left"/>
              <w:rPr/>
            </w:pPr>
            <w:r>
              <w:rPr/>
              <w:t>Legal fees and expenses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980" w:type="dxa"/>
            <w:tcBorders/>
            <w:shd w:fill="CCEEFF" w:val="clear"/>
            <w:vAlign w:val="center"/>
          </w:tcPr>
          <w:p>
            <w:pPr>
              <w:pStyle w:val="TableContents"/>
              <w:bidi w:val="0"/>
              <w:spacing w:before="0" w:after="283"/>
              <w:jc w:val="right"/>
              <w:rPr/>
            </w:pPr>
            <w:r>
              <w:rPr/>
              <w:t>2,829</w:t>
            </w:r>
          </w:p>
        </w:tc>
        <w:tc>
          <w:tcPr>
            <w:tcW w:w="75" w:type="dxa"/>
            <w:tcBorders/>
            <w:shd w:fill="CCEEFF" w:val="clear"/>
            <w:vAlign w:val="center"/>
          </w:tcPr>
          <w:p>
            <w:pPr>
              <w:pStyle w:val="TableContents"/>
              <w:bidi w:val="0"/>
              <w:spacing w:before="0" w:after="283"/>
              <w:jc w:val="left"/>
              <w:rPr/>
            </w:pPr>
            <w:r>
              <w:rPr/>
              <w:t> </w:t>
            </w:r>
          </w:p>
        </w:tc>
      </w:tr>
      <w:tr>
        <w:trPr/>
        <w:tc>
          <w:tcPr>
            <w:tcW w:w="5060" w:type="dxa"/>
            <w:tcBorders/>
            <w:shd w:fill="FFFFFF" w:val="clear"/>
            <w:vAlign w:val="center"/>
          </w:tcPr>
          <w:p>
            <w:pPr>
              <w:pStyle w:val="TableContents"/>
              <w:bidi w:val="0"/>
              <w:spacing w:before="0" w:after="283"/>
              <w:jc w:val="left"/>
              <w:rPr/>
            </w:pPr>
            <w:r>
              <w:rPr/>
              <w:t>Miscellaneous expenses</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w:t>
            </w:r>
          </w:p>
        </w:tc>
        <w:tc>
          <w:tcPr>
            <w:tcW w:w="980"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75" w:type="dxa"/>
            <w:tcBorders/>
            <w:shd w:fill="FFFFFF" w:val="clear"/>
            <w:vAlign w:val="center"/>
          </w:tcPr>
          <w:p>
            <w:pPr>
              <w:pStyle w:val="TableContents"/>
              <w:bidi w:val="0"/>
              <w:spacing w:before="0" w:after="283"/>
              <w:jc w:val="left"/>
              <w:rPr/>
            </w:pPr>
            <w:r>
              <w:rPr/>
              <w:t> </w:t>
            </w:r>
          </w:p>
        </w:tc>
      </w:tr>
      <w:tr>
        <w:trPr/>
        <w:tc>
          <w:tcPr>
            <w:tcW w:w="5060" w:type="dxa"/>
            <w:tcBorders/>
            <w:shd w:fill="CCEEFF" w:val="clear"/>
            <w:vAlign w:val="center"/>
          </w:tcPr>
          <w:p>
            <w:pPr>
              <w:pStyle w:val="TableContents"/>
              <w:bidi w:val="0"/>
              <w:spacing w:before="0" w:after="283"/>
              <w:jc w:val="left"/>
              <w:rPr/>
            </w:pPr>
            <w:r>
              <w:rPr/>
              <w:t>Total</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980" w:type="dxa"/>
            <w:tcBorders>
              <w:bottom w:val="double" w:sz="10" w:space="0" w:color="000000"/>
            </w:tcBorders>
            <w:shd w:fill="CCEEFF" w:val="clear"/>
            <w:tcMar>
              <w:bottom w:w="28" w:type="dxa"/>
            </w:tcMar>
            <w:vAlign w:val="center"/>
          </w:tcPr>
          <w:p>
            <w:pPr>
              <w:pStyle w:val="TableContents"/>
              <w:bidi w:val="0"/>
              <w:spacing w:before="0" w:after="283"/>
              <w:jc w:val="right"/>
              <w:rPr/>
            </w:pPr>
            <w:r>
              <w:rPr/>
              <w:t>28,636.50</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firstLine="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283"/>
              <w:jc w:val="left"/>
              <w:rPr>
                <w:sz w:val="20"/>
              </w:rPr>
            </w:pPr>
            <w:r>
              <w:rPr>
                <w:sz w:val="20"/>
              </w:rPr>
              <w:t>*</w:t>
            </w:r>
          </w:p>
        </w:tc>
        <w:tc>
          <w:tcPr>
            <w:tcW w:w="10065" w:type="dxa"/>
            <w:tcBorders/>
            <w:vAlign w:val="center"/>
          </w:tcPr>
          <w:p>
            <w:pPr>
              <w:pStyle w:val="TableContents"/>
              <w:bidi w:val="0"/>
              <w:spacing w:before="0" w:after="283"/>
              <w:jc w:val="both"/>
              <w:rPr>
                <w:sz w:val="20"/>
              </w:rPr>
            </w:pPr>
            <w:r>
              <w:rPr>
                <w:sz w:val="20"/>
              </w:rPr>
              <w:t>Estimated expenses are not presently known because they depend upon, among other things, the number of offerings that will be made pursuant to this registration statement, the amount and type of securities being offered and the timing of such offerings; we cannot compute the total until the exact expenses are known.</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Item 15. Indemnification of Directors and Officers.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Registrant’s certificate of incorporation (the “Charter”) provides that all of the Registrant’s directors, officers, employees and agents shall be entitled to be indemnified by the Registrant to the fullest extent permitted by Section 145 of the Delaware General Corporation Law (“DGCL”). Section 145 of the DGCL concerning indemnification of officers, directors, employees, and agents is set forth below.</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145. Indemnification of officers, directors, employees, and agents; insurance.</w:t>
      </w:r>
    </w:p>
    <w:p>
      <w:pPr>
        <w:pStyle w:val="TextBody"/>
        <w:bidi w:val="0"/>
        <w:spacing w:before="0" w:after="0"/>
        <w:ind w:left="0" w:right="0" w:hanging="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4"/>
        <w:gridCol w:w="9993"/>
      </w:tblGrid>
      <w:tr>
        <w:trPr/>
        <w:tc>
          <w:tcPr>
            <w:tcW w:w="38"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20"/>
              </w:rPr>
            </w:pPr>
            <w:r>
              <w:rPr>
                <w:sz w:val="20"/>
              </w:rPr>
              <w:t>(a)</w:t>
            </w:r>
          </w:p>
        </w:tc>
        <w:tc>
          <w:tcPr>
            <w:tcW w:w="9993" w:type="dxa"/>
            <w:tcBorders/>
            <w:vAlign w:val="center"/>
          </w:tcPr>
          <w:p>
            <w:pPr>
              <w:pStyle w:val="TableContents"/>
              <w:bidi w:val="0"/>
              <w:spacing w:before="0" w:after="283"/>
              <w:jc w:val="both"/>
              <w:rPr>
                <w:sz w:val="20"/>
              </w:rPr>
            </w:pPr>
            <w:r>
              <w:rPr>
                <w:sz w:val="20"/>
              </w:rPr>
              <w:t>A corporation shall have power to indemnify any person who was or is a party or is threatened to be made a party to any threatened, pending or completed action, suit or proceeding, whether civil, criminal, administrative or investigative (other than an action by or in the right of the corporation) by reason of the fact that the person is or was a director, officer, employee or agent of the corporation, or is or was serving at the request of the corporation as a director, officer, employee or agent of another corporation, partnership, joint venture, trust or other enterprise, against expenses (including attorneys’ fees), judgments, fines and amounts paid in settlement actually and reasonably incurred by the person in connection with such action, suit or proceeding if the person acted in good faith and in a manner the person reasonably believed to be in or not opposed to the best interests of the corporation, and, with respect to any criminal action or proceeding, had no reasonable cause to believe the person’s conduct was unlawful. The termination of any action, suit or proceeding by judgment, order, settlement, conviction, or upon a plea of nolo contendere or its equivalent, shall not, of itself, create a presumption that the person did not act in good faith and in a manner which the person reasonably believed to be in or not opposed to the best interests of the corporation, and, with respect to any criminal action or proceeding, had reasonable cause to believe that the person’s conduct was unlawful.</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89"/>
        <w:gridCol w:w="9978"/>
      </w:tblGrid>
      <w:tr>
        <w:trPr/>
        <w:tc>
          <w:tcPr>
            <w:tcW w:w="38"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20"/>
              </w:rPr>
            </w:pPr>
            <w:r>
              <w:rPr>
                <w:sz w:val="20"/>
              </w:rPr>
              <w:t>(b)</w:t>
            </w:r>
          </w:p>
        </w:tc>
        <w:tc>
          <w:tcPr>
            <w:tcW w:w="9978" w:type="dxa"/>
            <w:tcBorders/>
            <w:vAlign w:val="center"/>
          </w:tcPr>
          <w:p>
            <w:pPr>
              <w:pStyle w:val="TableContents"/>
              <w:bidi w:val="0"/>
              <w:spacing w:before="0" w:after="283"/>
              <w:jc w:val="both"/>
              <w:rPr>
                <w:sz w:val="20"/>
              </w:rPr>
            </w:pPr>
            <w:r>
              <w:rPr>
                <w:sz w:val="20"/>
              </w:rPr>
              <w:t>A corporation shall have power to indemnify any person who was or is a party or is threatened to be made a party to any threatened, pending or completed action or suit by or in the right of the corporation to procure a judgment in its favor by reason of the fact that the person is or was a director, officer, employee or agent of the corporation, or is or was serving at the request of the corporation as a director, officer, employee or agent of another corporation, partnership, joint venture, trust or other enterprise against expenses (including attorneys’ fees) actually and reasonably incurred by the person in connection with the defense or settlement of such action or suit if the person acted in good faith and in a manner the person reasonably believed to be in or not opposed to the best interests of the corporation and except that no indemnification shall be made in respect of any claim, issue or matter as to which such person shall have been adjudged to be liable to the corporation unless and only to the extent that the Court of Chancery or the court in which such action or suit was brought shall determine upon application that, despite the adjudication of liability but in view of all the circumstances of the case, such person is fairly and reasonably entitled to indemnity for such expenses which the Court of Chancery or such other court shall deem proper.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II-1</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86"/>
        <w:gridCol w:w="9981"/>
      </w:tblGrid>
      <w:tr>
        <w:trPr/>
        <w:tc>
          <w:tcPr>
            <w:tcW w:w="38"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20"/>
              </w:rPr>
            </w:pPr>
            <w:r>
              <w:rPr>
                <w:sz w:val="20"/>
              </w:rPr>
              <w:t>(c)</w:t>
            </w:r>
          </w:p>
        </w:tc>
        <w:tc>
          <w:tcPr>
            <w:tcW w:w="9981" w:type="dxa"/>
            <w:tcBorders/>
            <w:vAlign w:val="center"/>
          </w:tcPr>
          <w:p>
            <w:pPr>
              <w:pStyle w:val="TableContents"/>
              <w:bidi w:val="0"/>
              <w:spacing w:before="0" w:after="283"/>
              <w:jc w:val="both"/>
              <w:rPr>
                <w:sz w:val="20"/>
              </w:rPr>
            </w:pPr>
            <w:r>
              <w:rPr>
                <w:sz w:val="20"/>
              </w:rPr>
              <w:t>To the extent that a present or former director or officer of a corporation has been successful on the merits or otherwise in defense of any action, suit or proceeding referred to in subsections (a) and (b) of this section, or in defense of any claim, issue, or matter therein, such person shall be indemnified against expenses (including attorneys’ fees) actually and reasonably incurred by such person in connection therewith.</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92"/>
        <w:gridCol w:w="9975"/>
      </w:tblGrid>
      <w:tr>
        <w:trPr/>
        <w:tc>
          <w:tcPr>
            <w:tcW w:w="38"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20"/>
              </w:rPr>
            </w:pPr>
            <w:r>
              <w:rPr>
                <w:sz w:val="20"/>
              </w:rPr>
              <w:t>(d)</w:t>
            </w:r>
          </w:p>
        </w:tc>
        <w:tc>
          <w:tcPr>
            <w:tcW w:w="9975" w:type="dxa"/>
            <w:tcBorders/>
            <w:vAlign w:val="center"/>
          </w:tcPr>
          <w:p>
            <w:pPr>
              <w:pStyle w:val="TableContents"/>
              <w:bidi w:val="0"/>
              <w:spacing w:before="0" w:after="283"/>
              <w:jc w:val="both"/>
              <w:rPr>
                <w:sz w:val="20"/>
              </w:rPr>
            </w:pPr>
            <w:r>
              <w:rPr>
                <w:sz w:val="20"/>
              </w:rPr>
              <w:t>Any indemnification under subsections (a) and (b) of this section (unless ordered by a court) shall be made by the corporation only as authorized in the specific case upon a determination that indemnification of the present or former director, officer, employee, or agent is proper in the circumstances because the person has met the applicable standard of conduct set forth in subsections (a) and (b) of this section. Such determination shall be made, with respect to a person who is a director or officer at the time of such determination, (1) by a majority vote of the directors who are not parties to such action, suit or proceeding, even though less than a quorum, or (2) by a committee of such directors designated by majority vote of such directors, even though less than a quorum, or (3) if there are no such directors, or if such directors so direct, by independent legal counsel in a written opinion, or (4) by the stockholders.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9"/>
        <w:gridCol w:w="9988"/>
      </w:tblGrid>
      <w:tr>
        <w:trPr/>
        <w:tc>
          <w:tcPr>
            <w:tcW w:w="38"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20"/>
              </w:rPr>
            </w:pPr>
            <w:r>
              <w:rPr>
                <w:sz w:val="20"/>
              </w:rPr>
              <w:t>(e)</w:t>
            </w:r>
          </w:p>
        </w:tc>
        <w:tc>
          <w:tcPr>
            <w:tcW w:w="9988" w:type="dxa"/>
            <w:tcBorders/>
            <w:vAlign w:val="center"/>
          </w:tcPr>
          <w:p>
            <w:pPr>
              <w:pStyle w:val="TableContents"/>
              <w:bidi w:val="0"/>
              <w:spacing w:before="0" w:after="283"/>
              <w:jc w:val="both"/>
              <w:rPr>
                <w:sz w:val="20"/>
              </w:rPr>
            </w:pPr>
            <w:r>
              <w:rPr>
                <w:sz w:val="20"/>
              </w:rPr>
              <w:t>Expenses (including attorneys’ fees) incurred by an officer or director in defending any civil, criminal, administrative or investigative action, suit or proceeding may be paid by the corporation in advance of the final disposition of such action, suit or proceeding upon receipt of an undertaking by or on behalf of such director or officer to repay such amount if it shall ultimately be determined that such person is not entitled to be indemnified by the corporation as authorized in this section. Such expenses (including attorneys’ fees) incurred by former officers and directors, or other employees and agents may be so paid upon such terms and conditions, if any, as the corporation deems appropriate.</w:t>
            </w:r>
          </w:p>
        </w:tc>
      </w:tr>
    </w:tbl>
    <w:p>
      <w:pPr>
        <w:pStyle w:val="TextBody"/>
        <w:bidi w:val="0"/>
        <w:spacing w:before="0" w:after="0"/>
        <w:ind w:left="0" w:right="0" w:hanging="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46"/>
        <w:gridCol w:w="10021"/>
      </w:tblGrid>
      <w:tr>
        <w:trPr/>
        <w:tc>
          <w:tcPr>
            <w:tcW w:w="3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20"/>
              </w:rPr>
            </w:pPr>
            <w:r>
              <w:rPr>
                <w:sz w:val="20"/>
              </w:rPr>
              <w:t>(f)</w:t>
            </w:r>
          </w:p>
        </w:tc>
        <w:tc>
          <w:tcPr>
            <w:tcW w:w="10021" w:type="dxa"/>
            <w:tcBorders/>
            <w:vAlign w:val="center"/>
          </w:tcPr>
          <w:p>
            <w:pPr>
              <w:pStyle w:val="TableContents"/>
              <w:bidi w:val="0"/>
              <w:spacing w:before="0" w:after="283"/>
              <w:jc w:val="both"/>
              <w:rPr>
                <w:sz w:val="20"/>
              </w:rPr>
            </w:pPr>
            <w:r>
              <w:rPr>
                <w:sz w:val="20"/>
              </w:rPr>
              <w:t>The indemnification and advancement of expenses provided by, or granted pursuant to, the other subsections of this section shall not be deemed exclusive of any other rights to which those seeking indemnification or advancement of expenses may be entitled under any bylaw, agreement, vote of stockholders or disinterested directors or otherwise, both as to action in such person’s official capacity and as to action in another capacity while holding such office. A right to indemnification or to advancement of expenses arising under a provision of the certificate of incorporation or a bylaw shall not be eliminated or impaired by an amendment to such provision after the occurrence of the act or omission that is the subject of the civil, criminal, administrative or investigative action, suit or proceeding for which indemnification or advancement of expenses is sought, unless the provision in effect at the time of such act or omission explicitly authorizes such elimination or impairment after such action or omission has occurred.</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96"/>
        <w:gridCol w:w="9971"/>
      </w:tblGrid>
      <w:tr>
        <w:trPr/>
        <w:tc>
          <w:tcPr>
            <w:tcW w:w="38"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20"/>
              </w:rPr>
            </w:pPr>
            <w:r>
              <w:rPr>
                <w:sz w:val="20"/>
              </w:rPr>
              <w:t>(g)</w:t>
            </w:r>
          </w:p>
        </w:tc>
        <w:tc>
          <w:tcPr>
            <w:tcW w:w="9971" w:type="dxa"/>
            <w:tcBorders/>
            <w:vAlign w:val="center"/>
          </w:tcPr>
          <w:p>
            <w:pPr>
              <w:pStyle w:val="TableContents"/>
              <w:bidi w:val="0"/>
              <w:spacing w:before="0" w:after="283"/>
              <w:jc w:val="both"/>
              <w:rPr>
                <w:sz w:val="20"/>
              </w:rPr>
            </w:pPr>
            <w:r>
              <w:rPr>
                <w:sz w:val="20"/>
              </w:rPr>
              <w:t>A corporation shall have power to purchase and maintain insurance on behalf of any person who is or was a director, officer, employee or agent of the corporation, or is or was serving at the request of the corporation as a director, officer, employee or agent of another corporation, partnership, joint venture, trust or other enterprise against any liability asserted against such person and incurred by such person in any such capacity, or arising out of such person’s status as such, whether or not the corporation would have the power to indemnify such person against such liability under this section.</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92"/>
        <w:gridCol w:w="9975"/>
      </w:tblGrid>
      <w:tr>
        <w:trPr/>
        <w:tc>
          <w:tcPr>
            <w:tcW w:w="38"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20"/>
              </w:rPr>
            </w:pPr>
            <w:r>
              <w:rPr>
                <w:sz w:val="20"/>
              </w:rPr>
              <w:t>(h)</w:t>
            </w:r>
          </w:p>
        </w:tc>
        <w:tc>
          <w:tcPr>
            <w:tcW w:w="9975" w:type="dxa"/>
            <w:tcBorders/>
            <w:vAlign w:val="center"/>
          </w:tcPr>
          <w:p>
            <w:pPr>
              <w:pStyle w:val="TableContents"/>
              <w:bidi w:val="0"/>
              <w:spacing w:before="0" w:after="283"/>
              <w:jc w:val="both"/>
              <w:rPr>
                <w:sz w:val="20"/>
              </w:rPr>
            </w:pPr>
            <w:r>
              <w:rPr>
                <w:sz w:val="20"/>
              </w:rPr>
              <w:t>For purposes of this section, references to “the corporation” shall include, in addition to the resulting corporation, any constituent corporation (including any constituent of a constituent) absorbed in a consolidation or merger which, if its separate existence had continued, would have had power and authority to indemnify its directors, officers and employees or agents, so that any person who is or was a director, officer, employee or agent of such constituent corporation, or is or was serving at the request of such constituent corporation as a director, officer, employee or agent of another corporation, partnership, joint venture, trust or other enterprise, shall stand in the same position under this section with respect to the resulting or surviving corporation as such person would have with respect to such constituent corporation if its separate existence had continued.</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II-2</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48"/>
        <w:gridCol w:w="10019"/>
      </w:tblGrid>
      <w:tr>
        <w:trPr/>
        <w:tc>
          <w:tcPr>
            <w:tcW w:w="38"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20"/>
              </w:rPr>
            </w:pPr>
            <w:r>
              <w:rPr>
                <w:sz w:val="20"/>
              </w:rPr>
              <w:t>(i)</w:t>
            </w:r>
          </w:p>
        </w:tc>
        <w:tc>
          <w:tcPr>
            <w:tcW w:w="10019" w:type="dxa"/>
            <w:tcBorders/>
            <w:vAlign w:val="center"/>
          </w:tcPr>
          <w:p>
            <w:pPr>
              <w:pStyle w:val="TableContents"/>
              <w:bidi w:val="0"/>
              <w:spacing w:before="0" w:after="283"/>
              <w:jc w:val="both"/>
              <w:rPr>
                <w:sz w:val="20"/>
              </w:rPr>
            </w:pPr>
            <w:r>
              <w:rPr>
                <w:sz w:val="20"/>
              </w:rPr>
              <w:t>For purposes of this section, references to “other enterprises” shall include employee benefit plans; references to “fines” shall include any excise taxes assessed on a person with respect to any employee benefit plan; and references to “serving at the request of the corporation” shall include any service as a director, officer, employee or agent of the corporation which imposes duties on, or involves services by, such director, officer, employee or agent with respect to an employee benefit plan, its participants or beneficiaries; and a person who acted in good faith and in a manner such person reasonably believed to be in the interest of the participants and beneficiaries of an employee benefit plan shall be deemed to have acted in a manner “not opposed to the best interests of the corporation” as referred to in this section.</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60"/>
        <w:gridCol w:w="10007"/>
      </w:tblGrid>
      <w:tr>
        <w:trPr/>
        <w:tc>
          <w:tcPr>
            <w:tcW w:w="38"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20"/>
              </w:rPr>
            </w:pPr>
            <w:r>
              <w:rPr>
                <w:sz w:val="20"/>
              </w:rPr>
              <w:t>(j)</w:t>
            </w:r>
          </w:p>
        </w:tc>
        <w:tc>
          <w:tcPr>
            <w:tcW w:w="10007" w:type="dxa"/>
            <w:tcBorders/>
            <w:vAlign w:val="center"/>
          </w:tcPr>
          <w:p>
            <w:pPr>
              <w:pStyle w:val="TableContents"/>
              <w:bidi w:val="0"/>
              <w:spacing w:before="0" w:after="283"/>
              <w:jc w:val="both"/>
              <w:rPr>
                <w:sz w:val="20"/>
              </w:rPr>
            </w:pPr>
            <w:r>
              <w:rPr>
                <w:sz w:val="20"/>
              </w:rPr>
              <w:t>The indemnification and advancement of expenses provided by, or granted pursuant to, this section shall, unless otherwise provided when authorized or ratified, continue as to a person who has ceased to be a director, officer, employee, or agent and shall inure to the benefit of the heirs, executors, and administrators of such a person.</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01"/>
        <w:gridCol w:w="9966"/>
      </w:tblGrid>
      <w:tr>
        <w:trPr/>
        <w:tc>
          <w:tcPr>
            <w:tcW w:w="38"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20"/>
              </w:rPr>
            </w:pPr>
            <w:r>
              <w:rPr>
                <w:sz w:val="20"/>
              </w:rPr>
              <w:t>(k)</w:t>
            </w:r>
          </w:p>
        </w:tc>
        <w:tc>
          <w:tcPr>
            <w:tcW w:w="9966" w:type="dxa"/>
            <w:tcBorders/>
            <w:vAlign w:val="center"/>
          </w:tcPr>
          <w:p>
            <w:pPr>
              <w:pStyle w:val="TableContents"/>
              <w:bidi w:val="0"/>
              <w:spacing w:before="0" w:after="283"/>
              <w:jc w:val="both"/>
              <w:rPr>
                <w:sz w:val="20"/>
              </w:rPr>
            </w:pPr>
            <w:r>
              <w:rPr>
                <w:sz w:val="20"/>
              </w:rPr>
              <w:t>The Court of Chancery is hereby vested with exclusive jurisdiction to hear and determine all actions for advancement of expenses or indemnification brought under this section or under any bylaw, agreement, vote of stockholders or disinterested directors, or otherwise. The Court of Chancery may summarily determine a corporation’s obligation to advance expenses (including attorneys’ fees).</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Insofar as indemnification for liabilities arising under the Securities Act may be permitted to the Registrant’s directors, officers and controlling persons pursuant to the foregoing provisions, or otherwise, the Registrant has been advised that, in the opinion of the SEC, such indemnification is against public policy as expressed in the Securities Act and is, therefore, unenforceable. In the event that a claim for indemnification against such liabilities (other than the payment of expenses incurred or paid by a director, officer or controlling person in a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the court of appropriate jurisdiction the question whether such indemnification by it is against public policy as expressed in the Securities Act and will be governed by the final adjudication of such issue.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accordance with Section 102(b)(7) of the DGCL, the Charter provides that no director shall be personally liable to the Registrant or any of its stockholders for monetary damages resulting from breaches of their fiduciary duty as directors, except to the extent such limitation on or exemption from liability is not permitted under the DGCL. The effect of this provision of the Charter is to eliminate the Registrant’s rights and those of the Registrant’s stockholders (through stockholders’ derivative suits on the Registrant’s behalf) to recover monetary damages against a director for breach of the fiduciary duty of care as a director, including breaches resulting from negligent or grossly negligent behavior, except, as restricted by Section 102(b)(7) of the DGCL. However, this provision does not limit or eliminate the Registrant’s rights or the rights of any stockholder to seek non-monetary relief, such as an injunction or rescission, in the event of a breach of a director’s duty of care.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DGCL is amended to authorize corporate action further eliminating or limiting the liability of directors, then, in accordance with the Charter, the liability of the Registrant’s directors to the Registrant or its stockholders will be eliminated or limited to the fullest extent authorized by the DGCL, as so amended. Any repeal or amendment of provisions of the Charter limiting or eliminating the liability of directors, whether by the Registrant’s stockholders or by changes in law, or the adoption of any other provisions inconsistent therewith, will (unless otherwise required by law) be prospective only, except to the extent such amendment or change in law permits the Registrant to further limit or eliminate the liability of directors on a retroactive basis.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Charter also provides that the Registrant will, to the fullest extent authorized or permitted by applicable law, indemnify its current and former officers and directors, as well as those persons who, while directors or officers of the Registrant, are or were serving as directors, officers, employees or agents of another entity, trust or other enterprise, including service with respect to an employee benefit plan, in connection with any threatened, pending or completed proceeding, whether civil, criminal, administrative or investigative, against all expense, liability and loss (including, without limitation, attorney’s fees, judgments, fines, ERISA excise taxes and penalties and amounts paid in settlement) reasonably incurred or suffered by any such person in connection with any such proceeding.</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II-3</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Notwithstanding the foregoing, a person eligible for indemnification pursuant to the Charter will be indemnified by the Registrant in connection with a proceeding initiated by such person only if such proceeding was authorized by the Registrant’s board of directors, except for proceedings to enforce rights to indemnification.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right to indemnification which will be conferred by the Charter is a contract right that includes the right to be paid by the Registrant the expenses incurred in defending or otherwise participating in any proceeding referenced above in advance of its final disposition, provided, however, that if the DGCL requires, an advancement of expenses incurred by an officer or director of the Registrant (solely in the capacity as an officer or director of the Registrant) will be made only upon delivery to the Registrant of an undertaking, by or on behalf of such officer or director, to repay all amounts so advanced if it is ultimately determined that such person is not entitled to be indemnified for such expenses under the Charter or otherwise.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rights to indemnification and advancement of expenses will not be deemed exclusive of any other rights which any person covered by the Charter may have or hereafter acquire under law, the Charter, the Registrant’s bylaws (the “Bylaws”), an agreement, vote of stockholders or disinterested directors, or otherwise.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repeal or amendment of provisions of the Charter affecting indemnification rights, whether by the Registrant’s stockholders or by changes in law, or the adoption of any other provisions inconsistent therewith, will (unless otherwise required by law) be prospective only, except to the extent such amendment or change in law permits the Registrant to provide broader indemnification rights on a retroactive basis, and will not in any way diminish or adversely affect any right or protection existing at the time of such repeal or amendment or adoption of such inconsistent provision with respect to any act or omission occurring prior to such repeal or amendment or adoption of such inconsistent provision. The Charter also permits the Registrant, to the extent and in the manner authorized or permitted by law, to indemnify and to advance expenses to persons other that those specifically covered by the Charter.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Bylaws include the provisions relating to advancement of expenses and indemnification rights consistent with those which are set forth in the Charter. In addition, the Bylaws provide for a right of indemnity to bring a suit in the event a claim for indemnification or advancement of expenses is not paid in full by the Registrant within a specified period of time. The Bylaws also permit the Registrant to purchase and maintain insurance, at the Registrant’s expense, to protect it and/or any director, officer, employee or agent of the Registrant or another entity, trust, or other enterprise against any expense, liability, or loss, whether or not the Registrant would have the power to indemnify such person against such expense, liability, or loss under the DGCL.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repeal or amendment of provisions of the Bylaws affecting indemnification rights, whether by the Registrant’s board of directors, stockholders or by changes in applicable law, or the adoption of any other provisions inconsistent therewith, will (unless otherwise required by law) be prospective only, except to the extent such amendment or change in law permits the Registrant to provide broader indemnification rights on a retroactive basis, and will not in any way diminish or adversely affect any right or protection existing thereunder with respect to any act or omission occurring prior to such repeal or amendment or adoption of such inconsistent provision.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Registrant has entered into indemnification agreements with each of its officers and directors. These agreements require the Registrant to indemnify these individuals to the fullest extent permitted under Delaware law against liabilities that may arise by reason of their service to the Registrant, and to advance expenses incurred as a result of any proceeding against them as to which they could be indemnified.</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II-4</w:t>
      </w:r>
    </w:p>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Item 16. Exhibits.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documents are filed as exhibits to this registration statement, including those exhibits incorporated herein by reference to a prior filing under the Securities Act or the Exchange Act, as indicated in parentheses:</w:t>
      </w:r>
    </w:p>
    <w:p>
      <w:pPr>
        <w:pStyle w:val="TextBody"/>
        <w:bidi w:val="0"/>
        <w:spacing w:before="0" w:after="0"/>
        <w:ind w:left="0" w:right="0" w:hanging="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1205"/>
        <w:gridCol w:w="60"/>
        <w:gridCol w:w="8940"/>
      </w:tblGrid>
      <w:tr>
        <w:trPr/>
        <w:tc>
          <w:tcPr>
            <w:tcW w:w="1205" w:type="dxa"/>
            <w:tcBorders>
              <w:bottom w:val="single" w:sz="12" w:space="0" w:color="000000"/>
            </w:tcBorders>
            <w:vAlign w:val="center"/>
          </w:tcPr>
          <w:p>
            <w:pPr>
              <w:pStyle w:val="TableContents"/>
              <w:bidi w:val="0"/>
              <w:spacing w:before="0" w:after="283"/>
              <w:jc w:val="left"/>
              <w:rPr>
                <w:b/>
                <w:sz w:val="20"/>
              </w:rPr>
            </w:pPr>
            <w:r>
              <w:rPr>
                <w:b/>
                <w:sz w:val="20"/>
              </w:rPr>
              <w:t>Exhibit Number</w:t>
            </w:r>
          </w:p>
        </w:tc>
        <w:tc>
          <w:tcPr>
            <w:tcW w:w="60" w:type="dxa"/>
            <w:tcBorders/>
            <w:tcMar>
              <w:bottom w:w="0" w:type="dxa"/>
            </w:tcMar>
            <w:vAlign w:val="center"/>
          </w:tcPr>
          <w:p>
            <w:pPr>
              <w:pStyle w:val="TableContents"/>
              <w:bidi w:val="0"/>
              <w:spacing w:before="0" w:after="283"/>
              <w:jc w:val="left"/>
              <w:rPr/>
            </w:pPr>
            <w:r>
              <w:rPr/>
              <w:t> </w:t>
            </w:r>
          </w:p>
        </w:tc>
        <w:tc>
          <w:tcPr>
            <w:tcW w:w="8940" w:type="dxa"/>
            <w:tcBorders>
              <w:bottom w:val="single" w:sz="12" w:space="0" w:color="000000"/>
            </w:tcBorders>
            <w:vAlign w:val="center"/>
          </w:tcPr>
          <w:p>
            <w:pPr>
              <w:pStyle w:val="TableContents"/>
              <w:bidi w:val="0"/>
              <w:spacing w:before="0" w:after="283"/>
              <w:jc w:val="center"/>
              <w:rPr>
                <w:b/>
                <w:sz w:val="20"/>
              </w:rPr>
            </w:pPr>
            <w:r>
              <w:rPr>
                <w:b/>
                <w:sz w:val="20"/>
              </w:rPr>
              <w:t>Description of Document</w:t>
            </w:r>
          </w:p>
        </w:tc>
      </w:tr>
      <w:tr>
        <w:trPr/>
        <w:tc>
          <w:tcPr>
            <w:tcW w:w="1205" w:type="dxa"/>
            <w:tcBorders/>
            <w:shd w:fill="CCEEFF" w:val="clear"/>
            <w:tcMar>
              <w:bottom w:w="0" w:type="dxa"/>
            </w:tcMar>
            <w:vAlign w:val="center"/>
          </w:tcPr>
          <w:p>
            <w:pPr>
              <w:pStyle w:val="TableContents"/>
              <w:bidi w:val="0"/>
              <w:spacing w:before="0" w:after="283"/>
              <w:jc w:val="left"/>
              <w:rPr>
                <w:sz w:val="20"/>
              </w:rPr>
            </w:pPr>
            <w:r>
              <w:rPr>
                <w:sz w:val="20"/>
              </w:rPr>
              <w:t>1.1</w:t>
            </w:r>
          </w:p>
        </w:tc>
        <w:tc>
          <w:tcPr>
            <w:tcW w:w="60" w:type="dxa"/>
            <w:tcBorders/>
            <w:shd w:fill="CCEEFF" w:val="clear"/>
            <w:tcMar>
              <w:bottom w:w="0" w:type="dxa"/>
            </w:tcMar>
            <w:vAlign w:val="center"/>
          </w:tcPr>
          <w:p>
            <w:pPr>
              <w:pStyle w:val="TableContents"/>
              <w:bidi w:val="0"/>
              <w:spacing w:before="0" w:after="283"/>
              <w:jc w:val="left"/>
              <w:rPr/>
            </w:pPr>
            <w:r>
              <w:rPr/>
              <w:t> </w:t>
            </w:r>
          </w:p>
        </w:tc>
        <w:tc>
          <w:tcPr>
            <w:tcW w:w="8940" w:type="dxa"/>
            <w:tcBorders/>
            <w:shd w:fill="CCEEFF" w:val="clear"/>
            <w:tcMar>
              <w:bottom w:w="0" w:type="dxa"/>
            </w:tcMar>
            <w:vAlign w:val="center"/>
          </w:tcPr>
          <w:p>
            <w:pPr>
              <w:pStyle w:val="TableContents"/>
              <w:bidi w:val="0"/>
              <w:spacing w:before="0" w:after="283"/>
              <w:jc w:val="both"/>
              <w:rPr>
                <w:sz w:val="20"/>
              </w:rPr>
            </w:pPr>
            <w:r>
              <w:rPr>
                <w:sz w:val="20"/>
              </w:rPr>
              <w:t>Form of Underwriting Agreement**</w:t>
            </w:r>
          </w:p>
        </w:tc>
      </w:tr>
      <w:tr>
        <w:trPr/>
        <w:tc>
          <w:tcPr>
            <w:tcW w:w="1205" w:type="dxa"/>
            <w:tcBorders/>
            <w:shd w:fill="FFFFFF" w:val="clear"/>
            <w:tcMar>
              <w:bottom w:w="0" w:type="dxa"/>
            </w:tcMar>
            <w:vAlign w:val="center"/>
          </w:tcPr>
          <w:p>
            <w:pPr>
              <w:pStyle w:val="TableContents"/>
              <w:bidi w:val="0"/>
              <w:spacing w:before="0" w:after="283"/>
              <w:jc w:val="left"/>
              <w:rPr>
                <w:sz w:val="20"/>
              </w:rPr>
            </w:pPr>
            <w:r>
              <w:rPr>
                <w:sz w:val="20"/>
              </w:rPr>
              <w:t xml:space="preserve">4.1 </w:t>
            </w:r>
          </w:p>
        </w:tc>
        <w:tc>
          <w:tcPr>
            <w:tcW w:w="60" w:type="dxa"/>
            <w:tcBorders/>
            <w:shd w:fill="FFFFFF" w:val="clear"/>
            <w:tcMar>
              <w:bottom w:w="0" w:type="dxa"/>
            </w:tcMar>
            <w:vAlign w:val="center"/>
          </w:tcPr>
          <w:p>
            <w:pPr>
              <w:pStyle w:val="TableContents"/>
              <w:bidi w:val="0"/>
              <w:spacing w:before="0" w:after="283"/>
              <w:jc w:val="left"/>
              <w:rPr/>
            </w:pPr>
            <w:r>
              <w:rPr/>
              <w:t> </w:t>
            </w:r>
          </w:p>
        </w:tc>
        <w:tc>
          <w:tcPr>
            <w:tcW w:w="8940" w:type="dxa"/>
            <w:tcBorders/>
            <w:shd w:fill="FFFFFF" w:val="clear"/>
            <w:tcMar>
              <w:bottom w:w="0" w:type="dxa"/>
            </w:tcMar>
            <w:vAlign w:val="center"/>
          </w:tcPr>
          <w:p>
            <w:pPr>
              <w:pStyle w:val="TableContents"/>
              <w:bidi w:val="0"/>
              <w:spacing w:before="0" w:after="283"/>
              <w:jc w:val="both"/>
              <w:rPr>
                <w:sz w:val="20"/>
              </w:rPr>
            </w:pPr>
            <w:r>
              <w:rPr>
                <w:sz w:val="20"/>
              </w:rPr>
              <w:t xml:space="preserve">Specimen Common Stock Certificate** </w:t>
            </w:r>
          </w:p>
        </w:tc>
      </w:tr>
      <w:tr>
        <w:trPr/>
        <w:tc>
          <w:tcPr>
            <w:tcW w:w="1205" w:type="dxa"/>
            <w:tcBorders/>
            <w:shd w:fill="CCEEFF" w:val="clear"/>
            <w:tcMar>
              <w:bottom w:w="0" w:type="dxa"/>
            </w:tcMar>
            <w:vAlign w:val="center"/>
          </w:tcPr>
          <w:p>
            <w:pPr>
              <w:pStyle w:val="TableContents"/>
              <w:bidi w:val="0"/>
              <w:spacing w:before="0" w:after="283"/>
              <w:jc w:val="left"/>
              <w:rPr>
                <w:sz w:val="20"/>
              </w:rPr>
            </w:pPr>
            <w:r>
              <w:rPr>
                <w:sz w:val="20"/>
              </w:rPr>
              <w:t xml:space="preserve">4.2 </w:t>
            </w:r>
          </w:p>
        </w:tc>
        <w:tc>
          <w:tcPr>
            <w:tcW w:w="60" w:type="dxa"/>
            <w:tcBorders/>
            <w:shd w:fill="CCEEFF" w:val="clear"/>
            <w:tcMar>
              <w:bottom w:w="0" w:type="dxa"/>
            </w:tcMar>
            <w:vAlign w:val="center"/>
          </w:tcPr>
          <w:p>
            <w:pPr>
              <w:pStyle w:val="TableContents"/>
              <w:bidi w:val="0"/>
              <w:spacing w:before="0" w:after="283"/>
              <w:jc w:val="left"/>
              <w:rPr/>
            </w:pPr>
            <w:r>
              <w:rPr/>
              <w:t> </w:t>
            </w:r>
          </w:p>
        </w:tc>
        <w:tc>
          <w:tcPr>
            <w:tcW w:w="8940" w:type="dxa"/>
            <w:tcBorders/>
            <w:shd w:fill="CCEEFF" w:val="clear"/>
            <w:tcMar>
              <w:bottom w:w="0" w:type="dxa"/>
            </w:tcMar>
            <w:vAlign w:val="center"/>
          </w:tcPr>
          <w:p>
            <w:pPr>
              <w:pStyle w:val="TableContents"/>
              <w:bidi w:val="0"/>
              <w:spacing w:before="0" w:after="283"/>
              <w:jc w:val="both"/>
              <w:rPr>
                <w:sz w:val="20"/>
              </w:rPr>
            </w:pPr>
            <w:r>
              <w:rPr>
                <w:sz w:val="20"/>
              </w:rPr>
              <w:t>Form of Preferred Share Certificate**</w:t>
            </w:r>
          </w:p>
        </w:tc>
      </w:tr>
      <w:tr>
        <w:trPr/>
        <w:tc>
          <w:tcPr>
            <w:tcW w:w="1205" w:type="dxa"/>
            <w:tcBorders/>
            <w:shd w:fill="FFFFFF" w:val="clear"/>
            <w:tcMar>
              <w:bottom w:w="0" w:type="dxa"/>
            </w:tcMar>
            <w:vAlign w:val="center"/>
          </w:tcPr>
          <w:p>
            <w:pPr>
              <w:pStyle w:val="TableContents"/>
              <w:bidi w:val="0"/>
              <w:spacing w:before="0" w:after="283"/>
              <w:jc w:val="left"/>
              <w:rPr>
                <w:sz w:val="20"/>
              </w:rPr>
            </w:pPr>
            <w:r>
              <w:rPr>
                <w:sz w:val="20"/>
              </w:rPr>
              <w:t xml:space="preserve">4.3 </w:t>
            </w:r>
          </w:p>
        </w:tc>
        <w:tc>
          <w:tcPr>
            <w:tcW w:w="60" w:type="dxa"/>
            <w:tcBorders/>
            <w:shd w:fill="FFFFFF" w:val="clear"/>
            <w:tcMar>
              <w:bottom w:w="0" w:type="dxa"/>
            </w:tcMar>
            <w:vAlign w:val="center"/>
          </w:tcPr>
          <w:p>
            <w:pPr>
              <w:pStyle w:val="TableContents"/>
              <w:bidi w:val="0"/>
              <w:spacing w:before="0" w:after="283"/>
              <w:jc w:val="left"/>
              <w:rPr/>
            </w:pPr>
            <w:r>
              <w:rPr/>
              <w:t> </w:t>
            </w:r>
          </w:p>
        </w:tc>
        <w:tc>
          <w:tcPr>
            <w:tcW w:w="8940" w:type="dxa"/>
            <w:tcBorders/>
            <w:shd w:fill="FFFFFF" w:val="clear"/>
            <w:tcMar>
              <w:bottom w:w="0" w:type="dxa"/>
            </w:tcMar>
            <w:vAlign w:val="center"/>
          </w:tcPr>
          <w:p>
            <w:pPr>
              <w:pStyle w:val="TableContents"/>
              <w:bidi w:val="0"/>
              <w:spacing w:before="0" w:after="283"/>
              <w:jc w:val="both"/>
              <w:rPr>
                <w:sz w:val="20"/>
              </w:rPr>
            </w:pPr>
            <w:r>
              <w:rPr>
                <w:sz w:val="20"/>
              </w:rPr>
              <w:t>Form of Warrant**</w:t>
            </w:r>
          </w:p>
        </w:tc>
      </w:tr>
      <w:tr>
        <w:trPr/>
        <w:tc>
          <w:tcPr>
            <w:tcW w:w="1205" w:type="dxa"/>
            <w:tcBorders/>
            <w:shd w:fill="CCEEFF" w:val="clear"/>
            <w:tcMar>
              <w:bottom w:w="0" w:type="dxa"/>
            </w:tcMar>
            <w:vAlign w:val="center"/>
          </w:tcPr>
          <w:p>
            <w:pPr>
              <w:pStyle w:val="TableContents"/>
              <w:bidi w:val="0"/>
              <w:spacing w:before="0" w:after="283"/>
              <w:jc w:val="left"/>
              <w:rPr>
                <w:sz w:val="20"/>
              </w:rPr>
            </w:pPr>
            <w:r>
              <w:rPr>
                <w:sz w:val="20"/>
              </w:rPr>
              <w:t xml:space="preserve">4.4 </w:t>
            </w:r>
          </w:p>
        </w:tc>
        <w:tc>
          <w:tcPr>
            <w:tcW w:w="60" w:type="dxa"/>
            <w:tcBorders/>
            <w:shd w:fill="CCEEFF" w:val="clear"/>
            <w:tcMar>
              <w:bottom w:w="0" w:type="dxa"/>
            </w:tcMar>
            <w:vAlign w:val="center"/>
          </w:tcPr>
          <w:p>
            <w:pPr>
              <w:pStyle w:val="TableContents"/>
              <w:bidi w:val="0"/>
              <w:spacing w:before="0" w:after="283"/>
              <w:jc w:val="left"/>
              <w:rPr/>
            </w:pPr>
            <w:r>
              <w:rPr/>
              <w:t> </w:t>
            </w:r>
          </w:p>
        </w:tc>
        <w:tc>
          <w:tcPr>
            <w:tcW w:w="8940" w:type="dxa"/>
            <w:tcBorders/>
            <w:shd w:fill="CCEEFF" w:val="clear"/>
            <w:tcMar>
              <w:bottom w:w="0" w:type="dxa"/>
            </w:tcMar>
            <w:vAlign w:val="center"/>
          </w:tcPr>
          <w:p>
            <w:pPr>
              <w:pStyle w:val="TableContents"/>
              <w:bidi w:val="0"/>
              <w:spacing w:before="0" w:after="283"/>
              <w:jc w:val="both"/>
              <w:rPr>
                <w:sz w:val="20"/>
              </w:rPr>
            </w:pPr>
            <w:r>
              <w:rPr>
                <w:sz w:val="20"/>
              </w:rPr>
              <w:t>Form of Warrant Agreement**</w:t>
            </w:r>
          </w:p>
        </w:tc>
      </w:tr>
      <w:tr>
        <w:trPr/>
        <w:tc>
          <w:tcPr>
            <w:tcW w:w="1205" w:type="dxa"/>
            <w:tcBorders/>
            <w:shd w:fill="FFFFFF" w:val="clear"/>
            <w:tcMar>
              <w:bottom w:w="0" w:type="dxa"/>
            </w:tcMar>
            <w:vAlign w:val="center"/>
          </w:tcPr>
          <w:p>
            <w:pPr>
              <w:pStyle w:val="TableContents"/>
              <w:bidi w:val="0"/>
              <w:spacing w:before="0" w:after="283"/>
              <w:jc w:val="left"/>
              <w:rPr>
                <w:sz w:val="20"/>
              </w:rPr>
            </w:pPr>
            <w:r>
              <w:rPr>
                <w:sz w:val="20"/>
              </w:rPr>
              <w:t xml:space="preserve">4.5 </w:t>
            </w:r>
          </w:p>
        </w:tc>
        <w:tc>
          <w:tcPr>
            <w:tcW w:w="60" w:type="dxa"/>
            <w:tcBorders/>
            <w:shd w:fill="FFFFFF" w:val="clear"/>
            <w:tcMar>
              <w:bottom w:w="0" w:type="dxa"/>
            </w:tcMar>
            <w:vAlign w:val="center"/>
          </w:tcPr>
          <w:p>
            <w:pPr>
              <w:pStyle w:val="TableContents"/>
              <w:bidi w:val="0"/>
              <w:spacing w:before="0" w:after="283"/>
              <w:jc w:val="left"/>
              <w:rPr/>
            </w:pPr>
            <w:r>
              <w:rPr/>
              <w:t> </w:t>
            </w:r>
          </w:p>
        </w:tc>
        <w:tc>
          <w:tcPr>
            <w:tcW w:w="8940" w:type="dxa"/>
            <w:tcBorders/>
            <w:shd w:fill="FFFFFF" w:val="clear"/>
            <w:tcMar>
              <w:bottom w:w="0" w:type="dxa"/>
            </w:tcMar>
            <w:vAlign w:val="center"/>
          </w:tcPr>
          <w:p>
            <w:pPr>
              <w:pStyle w:val="TableContents"/>
              <w:bidi w:val="0"/>
              <w:spacing w:before="0" w:after="283"/>
              <w:jc w:val="both"/>
              <w:rPr>
                <w:sz w:val="20"/>
              </w:rPr>
            </w:pPr>
            <w:r>
              <w:rPr>
                <w:sz w:val="20"/>
              </w:rPr>
              <w:t>Form of Unit Agreement**</w:t>
            </w:r>
          </w:p>
        </w:tc>
      </w:tr>
      <w:tr>
        <w:trPr/>
        <w:tc>
          <w:tcPr>
            <w:tcW w:w="1205" w:type="dxa"/>
            <w:tcBorders/>
            <w:shd w:fill="CCEEFF" w:val="clear"/>
            <w:tcMar>
              <w:bottom w:w="0" w:type="dxa"/>
            </w:tcMar>
            <w:vAlign w:val="center"/>
          </w:tcPr>
          <w:p>
            <w:pPr>
              <w:pStyle w:val="TableContents"/>
              <w:bidi w:val="0"/>
              <w:spacing w:before="0" w:after="283"/>
              <w:jc w:val="left"/>
              <w:rPr>
                <w:sz w:val="20"/>
              </w:rPr>
            </w:pPr>
            <w:r>
              <w:rPr>
                <w:sz w:val="20"/>
              </w:rPr>
              <w:t>4.6</w:t>
            </w:r>
          </w:p>
        </w:tc>
        <w:tc>
          <w:tcPr>
            <w:tcW w:w="60" w:type="dxa"/>
            <w:tcBorders/>
            <w:shd w:fill="CCEEFF" w:val="clear"/>
            <w:tcMar>
              <w:bottom w:w="0" w:type="dxa"/>
            </w:tcMar>
            <w:vAlign w:val="center"/>
          </w:tcPr>
          <w:p>
            <w:pPr>
              <w:pStyle w:val="TableContents"/>
              <w:bidi w:val="0"/>
              <w:spacing w:before="0" w:after="283"/>
              <w:jc w:val="left"/>
              <w:rPr/>
            </w:pPr>
            <w:r>
              <w:rPr/>
              <w:t> </w:t>
            </w:r>
          </w:p>
        </w:tc>
        <w:tc>
          <w:tcPr>
            <w:tcW w:w="8940" w:type="dxa"/>
            <w:tcBorders/>
            <w:shd w:fill="CCEEFF" w:val="clear"/>
            <w:tcMar>
              <w:bottom w:w="0" w:type="dxa"/>
            </w:tcMar>
            <w:vAlign w:val="center"/>
          </w:tcPr>
          <w:p>
            <w:pPr>
              <w:pStyle w:val="TableContents"/>
              <w:bidi w:val="0"/>
              <w:spacing w:before="0" w:after="283"/>
              <w:jc w:val="both"/>
              <w:rPr/>
            </w:pPr>
            <w:hyperlink w:anchor="ea030223901ex4-6.htm">
              <w:r>
                <w:rPr>
                  <w:rStyle w:val="InternetLink"/>
                  <w:sz w:val="20"/>
                </w:rPr>
                <w:t>Form of indenture with respect to senior debt securities, to be entered into between registrant and a trustee acceptable to the registrant, if any.*</w:t>
              </w:r>
            </w:hyperlink>
          </w:p>
        </w:tc>
      </w:tr>
      <w:tr>
        <w:trPr/>
        <w:tc>
          <w:tcPr>
            <w:tcW w:w="1205" w:type="dxa"/>
            <w:tcBorders/>
            <w:shd w:fill="FFFFFF" w:val="clear"/>
            <w:tcMar>
              <w:bottom w:w="0" w:type="dxa"/>
            </w:tcMar>
            <w:vAlign w:val="center"/>
          </w:tcPr>
          <w:p>
            <w:pPr>
              <w:pStyle w:val="TableContents"/>
              <w:bidi w:val="0"/>
              <w:spacing w:before="0" w:after="283"/>
              <w:jc w:val="left"/>
              <w:rPr>
                <w:sz w:val="20"/>
              </w:rPr>
            </w:pPr>
            <w:r>
              <w:rPr>
                <w:sz w:val="20"/>
              </w:rPr>
              <w:t>4.7</w:t>
            </w:r>
          </w:p>
        </w:tc>
        <w:tc>
          <w:tcPr>
            <w:tcW w:w="60" w:type="dxa"/>
            <w:tcBorders/>
            <w:shd w:fill="FFFFFF" w:val="clear"/>
            <w:tcMar>
              <w:bottom w:w="0" w:type="dxa"/>
            </w:tcMar>
            <w:vAlign w:val="center"/>
          </w:tcPr>
          <w:p>
            <w:pPr>
              <w:pStyle w:val="TableContents"/>
              <w:bidi w:val="0"/>
              <w:spacing w:before="0" w:after="283"/>
              <w:jc w:val="left"/>
              <w:rPr/>
            </w:pPr>
            <w:r>
              <w:rPr/>
              <w:t> </w:t>
            </w:r>
          </w:p>
        </w:tc>
        <w:tc>
          <w:tcPr>
            <w:tcW w:w="8940" w:type="dxa"/>
            <w:tcBorders/>
            <w:shd w:fill="FFFFFF" w:val="clear"/>
            <w:tcMar>
              <w:bottom w:w="0" w:type="dxa"/>
            </w:tcMar>
            <w:vAlign w:val="center"/>
          </w:tcPr>
          <w:p>
            <w:pPr>
              <w:pStyle w:val="TableContents"/>
              <w:bidi w:val="0"/>
              <w:spacing w:before="0" w:after="283"/>
              <w:jc w:val="both"/>
              <w:rPr/>
            </w:pPr>
            <w:hyperlink w:anchor="ea030223901ex4-7.htm">
              <w:r>
                <w:rPr>
                  <w:rStyle w:val="InternetLink"/>
                  <w:sz w:val="20"/>
                </w:rPr>
                <w:t>Form of indenture with respect to subordinated debt securities, to be entered into between registrant and a trustee acceptable to the registrant, if any.*</w:t>
              </w:r>
            </w:hyperlink>
          </w:p>
        </w:tc>
      </w:tr>
      <w:tr>
        <w:trPr/>
        <w:tc>
          <w:tcPr>
            <w:tcW w:w="1205" w:type="dxa"/>
            <w:tcBorders/>
            <w:shd w:fill="CCEEFF" w:val="clear"/>
            <w:tcMar>
              <w:bottom w:w="0" w:type="dxa"/>
            </w:tcMar>
            <w:vAlign w:val="center"/>
          </w:tcPr>
          <w:p>
            <w:pPr>
              <w:pStyle w:val="TableContents"/>
              <w:bidi w:val="0"/>
              <w:spacing w:before="0" w:after="283"/>
              <w:jc w:val="left"/>
              <w:rPr>
                <w:sz w:val="20"/>
              </w:rPr>
            </w:pPr>
            <w:r>
              <w:rPr>
                <w:sz w:val="20"/>
              </w:rPr>
              <w:t>4.8</w:t>
            </w:r>
          </w:p>
        </w:tc>
        <w:tc>
          <w:tcPr>
            <w:tcW w:w="60" w:type="dxa"/>
            <w:tcBorders/>
            <w:shd w:fill="CCEEFF" w:val="clear"/>
            <w:tcMar>
              <w:bottom w:w="0" w:type="dxa"/>
            </w:tcMar>
            <w:vAlign w:val="center"/>
          </w:tcPr>
          <w:p>
            <w:pPr>
              <w:pStyle w:val="TableContents"/>
              <w:bidi w:val="0"/>
              <w:spacing w:before="0" w:after="283"/>
              <w:jc w:val="left"/>
              <w:rPr/>
            </w:pPr>
            <w:r>
              <w:rPr/>
              <w:t> </w:t>
            </w:r>
          </w:p>
        </w:tc>
        <w:tc>
          <w:tcPr>
            <w:tcW w:w="8940" w:type="dxa"/>
            <w:tcBorders/>
            <w:shd w:fill="CCEEFF" w:val="clear"/>
            <w:tcMar>
              <w:bottom w:w="0" w:type="dxa"/>
            </w:tcMar>
            <w:vAlign w:val="center"/>
          </w:tcPr>
          <w:p>
            <w:pPr>
              <w:pStyle w:val="TableContents"/>
              <w:bidi w:val="0"/>
              <w:spacing w:before="0" w:after="283"/>
              <w:jc w:val="both"/>
              <w:rPr>
                <w:sz w:val="20"/>
              </w:rPr>
            </w:pPr>
            <w:r>
              <w:rPr>
                <w:sz w:val="20"/>
              </w:rPr>
              <w:t>Form of debt securities, if any**</w:t>
            </w:r>
          </w:p>
        </w:tc>
      </w:tr>
      <w:tr>
        <w:trPr/>
        <w:tc>
          <w:tcPr>
            <w:tcW w:w="1205" w:type="dxa"/>
            <w:tcBorders/>
            <w:shd w:fill="FFFFFF" w:val="clear"/>
            <w:tcMar>
              <w:bottom w:w="0" w:type="dxa"/>
            </w:tcMar>
            <w:vAlign w:val="center"/>
          </w:tcPr>
          <w:p>
            <w:pPr>
              <w:pStyle w:val="TableContents"/>
              <w:bidi w:val="0"/>
              <w:spacing w:before="0" w:after="283"/>
              <w:jc w:val="left"/>
              <w:rPr>
                <w:sz w:val="20"/>
              </w:rPr>
            </w:pPr>
            <w:r>
              <w:rPr>
                <w:sz w:val="20"/>
              </w:rPr>
              <w:t>4.9</w:t>
            </w:r>
          </w:p>
        </w:tc>
        <w:tc>
          <w:tcPr>
            <w:tcW w:w="60" w:type="dxa"/>
            <w:tcBorders/>
            <w:shd w:fill="FFFFFF" w:val="clear"/>
            <w:tcMar>
              <w:bottom w:w="0" w:type="dxa"/>
            </w:tcMar>
            <w:vAlign w:val="center"/>
          </w:tcPr>
          <w:p>
            <w:pPr>
              <w:pStyle w:val="TableContents"/>
              <w:bidi w:val="0"/>
              <w:spacing w:before="0" w:after="283"/>
              <w:jc w:val="left"/>
              <w:rPr/>
            </w:pPr>
            <w:r>
              <w:rPr/>
              <w:t> </w:t>
            </w:r>
          </w:p>
        </w:tc>
        <w:tc>
          <w:tcPr>
            <w:tcW w:w="8940" w:type="dxa"/>
            <w:tcBorders/>
            <w:shd w:fill="FFFFFF" w:val="clear"/>
            <w:tcMar>
              <w:bottom w:w="0" w:type="dxa"/>
            </w:tcMar>
            <w:vAlign w:val="center"/>
          </w:tcPr>
          <w:p>
            <w:pPr>
              <w:pStyle w:val="TableContents"/>
              <w:bidi w:val="0"/>
              <w:spacing w:before="0" w:after="283"/>
              <w:jc w:val="both"/>
              <w:rPr>
                <w:sz w:val="20"/>
              </w:rPr>
            </w:pPr>
            <w:r>
              <w:rPr>
                <w:sz w:val="20"/>
              </w:rPr>
              <w:t>Form of Right Certificate, if any**</w:t>
            </w:r>
          </w:p>
        </w:tc>
      </w:tr>
      <w:tr>
        <w:trPr/>
        <w:tc>
          <w:tcPr>
            <w:tcW w:w="1205" w:type="dxa"/>
            <w:tcBorders/>
            <w:shd w:fill="CCEEFF" w:val="clear"/>
            <w:tcMar>
              <w:bottom w:w="0" w:type="dxa"/>
            </w:tcMar>
            <w:vAlign w:val="center"/>
          </w:tcPr>
          <w:p>
            <w:pPr>
              <w:pStyle w:val="TableContents"/>
              <w:bidi w:val="0"/>
              <w:spacing w:before="0" w:after="283"/>
              <w:jc w:val="left"/>
              <w:rPr>
                <w:sz w:val="20"/>
              </w:rPr>
            </w:pPr>
            <w:r>
              <w:rPr>
                <w:sz w:val="20"/>
              </w:rPr>
              <w:t xml:space="preserve">5.1 </w:t>
            </w:r>
          </w:p>
        </w:tc>
        <w:tc>
          <w:tcPr>
            <w:tcW w:w="60" w:type="dxa"/>
            <w:tcBorders/>
            <w:shd w:fill="CCEEFF" w:val="clear"/>
            <w:tcMar>
              <w:bottom w:w="0" w:type="dxa"/>
            </w:tcMar>
            <w:vAlign w:val="center"/>
          </w:tcPr>
          <w:p>
            <w:pPr>
              <w:pStyle w:val="TableContents"/>
              <w:bidi w:val="0"/>
              <w:spacing w:before="0" w:after="283"/>
              <w:jc w:val="left"/>
              <w:rPr/>
            </w:pPr>
            <w:r>
              <w:rPr/>
              <w:t> </w:t>
            </w:r>
          </w:p>
        </w:tc>
        <w:tc>
          <w:tcPr>
            <w:tcW w:w="8940" w:type="dxa"/>
            <w:tcBorders/>
            <w:shd w:fill="CCEEFF" w:val="clear"/>
            <w:tcMar>
              <w:bottom w:w="0" w:type="dxa"/>
            </w:tcMar>
            <w:vAlign w:val="center"/>
          </w:tcPr>
          <w:p>
            <w:pPr>
              <w:pStyle w:val="TableContents"/>
              <w:bidi w:val="0"/>
              <w:spacing w:before="0" w:after="283"/>
              <w:jc w:val="both"/>
              <w:rPr/>
            </w:pPr>
            <w:hyperlink w:anchor="ea030223901ex5-1.htm">
              <w:r>
                <w:rPr>
                  <w:rStyle w:val="InternetLink"/>
                  <w:sz w:val="20"/>
                </w:rPr>
                <w:t>Opinion of Hunter Taubman Fischer &amp; Li LLC*</w:t>
              </w:r>
            </w:hyperlink>
          </w:p>
        </w:tc>
      </w:tr>
      <w:tr>
        <w:trPr/>
        <w:tc>
          <w:tcPr>
            <w:tcW w:w="1205" w:type="dxa"/>
            <w:tcBorders/>
            <w:shd w:fill="FFFFFF" w:val="clear"/>
            <w:tcMar>
              <w:bottom w:w="0" w:type="dxa"/>
            </w:tcMar>
            <w:vAlign w:val="center"/>
          </w:tcPr>
          <w:p>
            <w:pPr>
              <w:pStyle w:val="TableContents"/>
              <w:bidi w:val="0"/>
              <w:spacing w:before="0" w:after="283"/>
              <w:jc w:val="left"/>
              <w:rPr>
                <w:sz w:val="20"/>
              </w:rPr>
            </w:pPr>
            <w:r>
              <w:rPr>
                <w:sz w:val="20"/>
              </w:rPr>
              <w:t>23.1</w:t>
            </w:r>
          </w:p>
        </w:tc>
        <w:tc>
          <w:tcPr>
            <w:tcW w:w="60" w:type="dxa"/>
            <w:tcBorders/>
            <w:shd w:fill="FFFFFF" w:val="clear"/>
            <w:tcMar>
              <w:bottom w:w="0" w:type="dxa"/>
            </w:tcMar>
            <w:vAlign w:val="center"/>
          </w:tcPr>
          <w:p>
            <w:pPr>
              <w:pStyle w:val="TableContents"/>
              <w:bidi w:val="0"/>
              <w:spacing w:before="0" w:after="283"/>
              <w:jc w:val="left"/>
              <w:rPr/>
            </w:pPr>
            <w:r>
              <w:rPr/>
              <w:t> </w:t>
            </w:r>
          </w:p>
        </w:tc>
        <w:tc>
          <w:tcPr>
            <w:tcW w:w="8940" w:type="dxa"/>
            <w:tcBorders/>
            <w:shd w:fill="FFFFFF" w:val="clear"/>
            <w:tcMar>
              <w:bottom w:w="0" w:type="dxa"/>
            </w:tcMar>
            <w:vAlign w:val="center"/>
          </w:tcPr>
          <w:p>
            <w:pPr>
              <w:pStyle w:val="TableContents"/>
              <w:bidi w:val="0"/>
              <w:spacing w:before="0" w:after="283"/>
              <w:jc w:val="both"/>
              <w:rPr/>
            </w:pPr>
            <w:hyperlink w:anchor="ea030223901ex23-1.htm">
              <w:r>
                <w:rPr>
                  <w:rStyle w:val="InternetLink"/>
                  <w:sz w:val="20"/>
                </w:rPr>
                <w:t>Consent of Marcum Asia CPAs LLP*</w:t>
              </w:r>
            </w:hyperlink>
          </w:p>
        </w:tc>
      </w:tr>
      <w:tr>
        <w:trPr/>
        <w:tc>
          <w:tcPr>
            <w:tcW w:w="1205" w:type="dxa"/>
            <w:tcBorders/>
            <w:shd w:fill="CCEEFF" w:val="clear"/>
            <w:tcMar>
              <w:bottom w:w="0" w:type="dxa"/>
            </w:tcMar>
            <w:vAlign w:val="center"/>
          </w:tcPr>
          <w:p>
            <w:pPr>
              <w:pStyle w:val="TableContents"/>
              <w:bidi w:val="0"/>
              <w:spacing w:before="0" w:after="283"/>
              <w:jc w:val="left"/>
              <w:rPr>
                <w:sz w:val="20"/>
              </w:rPr>
            </w:pPr>
            <w:r>
              <w:rPr>
                <w:sz w:val="20"/>
              </w:rPr>
              <w:t>23.2</w:t>
            </w:r>
          </w:p>
        </w:tc>
        <w:tc>
          <w:tcPr>
            <w:tcW w:w="60" w:type="dxa"/>
            <w:tcBorders/>
            <w:shd w:fill="CCEEFF" w:val="clear"/>
            <w:tcMar>
              <w:bottom w:w="0" w:type="dxa"/>
            </w:tcMar>
            <w:vAlign w:val="center"/>
          </w:tcPr>
          <w:p>
            <w:pPr>
              <w:pStyle w:val="TableContents"/>
              <w:bidi w:val="0"/>
              <w:spacing w:before="0" w:after="283"/>
              <w:jc w:val="left"/>
              <w:rPr/>
            </w:pPr>
            <w:r>
              <w:rPr/>
              <w:t> </w:t>
            </w:r>
          </w:p>
        </w:tc>
        <w:tc>
          <w:tcPr>
            <w:tcW w:w="8940" w:type="dxa"/>
            <w:tcBorders/>
            <w:shd w:fill="CCEEFF" w:val="clear"/>
            <w:tcMar>
              <w:bottom w:w="0" w:type="dxa"/>
            </w:tcMar>
            <w:vAlign w:val="center"/>
          </w:tcPr>
          <w:p>
            <w:pPr>
              <w:pStyle w:val="TableContents"/>
              <w:bidi w:val="0"/>
              <w:spacing w:before="0" w:after="283"/>
              <w:jc w:val="both"/>
              <w:rPr/>
            </w:pPr>
            <w:hyperlink w:anchor="ea030223901ex23-2.htm">
              <w:r>
                <w:rPr>
                  <w:rStyle w:val="InternetLink"/>
                  <w:sz w:val="20"/>
                </w:rPr>
                <w:t>Consent of CBIZ CPAs P.C.*</w:t>
              </w:r>
            </w:hyperlink>
          </w:p>
        </w:tc>
      </w:tr>
      <w:tr>
        <w:trPr/>
        <w:tc>
          <w:tcPr>
            <w:tcW w:w="1205" w:type="dxa"/>
            <w:tcBorders/>
            <w:shd w:fill="FFFFFF" w:val="clear"/>
            <w:tcMar>
              <w:bottom w:w="0" w:type="dxa"/>
            </w:tcMar>
            <w:vAlign w:val="center"/>
          </w:tcPr>
          <w:p>
            <w:pPr>
              <w:pStyle w:val="TableContents"/>
              <w:bidi w:val="0"/>
              <w:spacing w:before="0" w:after="283"/>
              <w:jc w:val="left"/>
              <w:rPr>
                <w:sz w:val="20"/>
              </w:rPr>
            </w:pPr>
            <w:r>
              <w:rPr>
                <w:sz w:val="20"/>
              </w:rPr>
              <w:t xml:space="preserve">23.4 </w:t>
            </w:r>
          </w:p>
        </w:tc>
        <w:tc>
          <w:tcPr>
            <w:tcW w:w="60" w:type="dxa"/>
            <w:tcBorders/>
            <w:shd w:fill="FFFFFF" w:val="clear"/>
            <w:tcMar>
              <w:bottom w:w="0" w:type="dxa"/>
            </w:tcMar>
            <w:vAlign w:val="center"/>
          </w:tcPr>
          <w:p>
            <w:pPr>
              <w:pStyle w:val="TableContents"/>
              <w:bidi w:val="0"/>
              <w:spacing w:before="0" w:after="283"/>
              <w:jc w:val="left"/>
              <w:rPr/>
            </w:pPr>
            <w:r>
              <w:rPr/>
              <w:t> </w:t>
            </w:r>
          </w:p>
        </w:tc>
        <w:tc>
          <w:tcPr>
            <w:tcW w:w="8940" w:type="dxa"/>
            <w:tcBorders/>
            <w:shd w:fill="FFFFFF" w:val="clear"/>
            <w:tcMar>
              <w:bottom w:w="0" w:type="dxa"/>
            </w:tcMar>
            <w:vAlign w:val="center"/>
          </w:tcPr>
          <w:p>
            <w:pPr>
              <w:pStyle w:val="TableContents"/>
              <w:bidi w:val="0"/>
              <w:spacing w:before="0" w:after="283"/>
              <w:jc w:val="both"/>
              <w:rPr/>
            </w:pPr>
            <w:hyperlink w:anchor="ea030223901ex5-1.htm">
              <w:r>
                <w:rPr>
                  <w:rStyle w:val="InternetLink"/>
                  <w:sz w:val="20"/>
                </w:rPr>
                <w:t>Consent of Hunter Taubman Fischer &amp; Li LLC (included in Exhibit 5.1)*</w:t>
              </w:r>
            </w:hyperlink>
          </w:p>
        </w:tc>
      </w:tr>
      <w:tr>
        <w:trPr/>
        <w:tc>
          <w:tcPr>
            <w:tcW w:w="1205" w:type="dxa"/>
            <w:tcBorders/>
            <w:shd w:fill="CCEEFF" w:val="clear"/>
            <w:tcMar>
              <w:bottom w:w="0" w:type="dxa"/>
            </w:tcMar>
            <w:vAlign w:val="center"/>
          </w:tcPr>
          <w:p>
            <w:pPr>
              <w:pStyle w:val="TableContents"/>
              <w:bidi w:val="0"/>
              <w:spacing w:before="0" w:after="283"/>
              <w:jc w:val="left"/>
              <w:rPr>
                <w:sz w:val="20"/>
              </w:rPr>
            </w:pPr>
            <w:r>
              <w:rPr>
                <w:sz w:val="20"/>
              </w:rPr>
              <w:t>24.1</w:t>
            </w:r>
          </w:p>
        </w:tc>
        <w:tc>
          <w:tcPr>
            <w:tcW w:w="60" w:type="dxa"/>
            <w:tcBorders/>
            <w:shd w:fill="CCEEFF" w:val="clear"/>
            <w:tcMar>
              <w:bottom w:w="0" w:type="dxa"/>
            </w:tcMar>
            <w:vAlign w:val="center"/>
          </w:tcPr>
          <w:p>
            <w:pPr>
              <w:pStyle w:val="TableContents"/>
              <w:bidi w:val="0"/>
              <w:spacing w:before="0" w:after="283"/>
              <w:jc w:val="left"/>
              <w:rPr/>
            </w:pPr>
            <w:r>
              <w:rPr/>
              <w:t> </w:t>
            </w:r>
          </w:p>
        </w:tc>
        <w:tc>
          <w:tcPr>
            <w:tcW w:w="8940" w:type="dxa"/>
            <w:tcBorders/>
            <w:shd w:fill="CCEEFF" w:val="clear"/>
            <w:tcMar>
              <w:bottom w:w="0" w:type="dxa"/>
            </w:tcMar>
            <w:vAlign w:val="center"/>
          </w:tcPr>
          <w:p>
            <w:pPr>
              <w:pStyle w:val="TableContents"/>
              <w:bidi w:val="0"/>
              <w:spacing w:before="0" w:after="283"/>
              <w:jc w:val="both"/>
              <w:rPr/>
            </w:pPr>
            <w:hyperlink w:anchor="a_013">
              <w:r>
                <w:rPr>
                  <w:rStyle w:val="InternetLink"/>
                  <w:sz w:val="20"/>
                </w:rPr>
                <w:t>Power of Attorney (Included on signature page) *</w:t>
              </w:r>
            </w:hyperlink>
          </w:p>
        </w:tc>
      </w:tr>
      <w:tr>
        <w:trPr/>
        <w:tc>
          <w:tcPr>
            <w:tcW w:w="1205" w:type="dxa"/>
            <w:tcBorders/>
            <w:shd w:fill="FFFFFF" w:val="clear"/>
            <w:tcMar>
              <w:bottom w:w="0" w:type="dxa"/>
            </w:tcMar>
            <w:vAlign w:val="center"/>
          </w:tcPr>
          <w:p>
            <w:pPr>
              <w:pStyle w:val="TableContents"/>
              <w:bidi w:val="0"/>
              <w:spacing w:before="0" w:after="283"/>
              <w:jc w:val="left"/>
              <w:rPr>
                <w:sz w:val="20"/>
              </w:rPr>
            </w:pPr>
            <w:r>
              <w:rPr>
                <w:sz w:val="20"/>
              </w:rPr>
              <w:t xml:space="preserve">25.1 </w:t>
            </w:r>
          </w:p>
        </w:tc>
        <w:tc>
          <w:tcPr>
            <w:tcW w:w="60" w:type="dxa"/>
            <w:tcBorders/>
            <w:shd w:fill="FFFFFF" w:val="clear"/>
            <w:tcMar>
              <w:bottom w:w="0" w:type="dxa"/>
            </w:tcMar>
            <w:vAlign w:val="center"/>
          </w:tcPr>
          <w:p>
            <w:pPr>
              <w:pStyle w:val="TableContents"/>
              <w:bidi w:val="0"/>
              <w:spacing w:before="0" w:after="283"/>
              <w:jc w:val="left"/>
              <w:rPr/>
            </w:pPr>
            <w:r>
              <w:rPr/>
              <w:t> </w:t>
            </w:r>
          </w:p>
        </w:tc>
        <w:tc>
          <w:tcPr>
            <w:tcW w:w="8940" w:type="dxa"/>
            <w:tcBorders/>
            <w:shd w:fill="FFFFFF" w:val="clear"/>
            <w:tcMar>
              <w:bottom w:w="0" w:type="dxa"/>
            </w:tcMar>
            <w:vAlign w:val="center"/>
          </w:tcPr>
          <w:p>
            <w:pPr>
              <w:pStyle w:val="TableContents"/>
              <w:bidi w:val="0"/>
              <w:spacing w:before="0" w:after="283"/>
              <w:jc w:val="both"/>
              <w:rPr>
                <w:sz w:val="20"/>
              </w:rPr>
            </w:pPr>
            <w:r>
              <w:rPr>
                <w:sz w:val="20"/>
              </w:rPr>
              <w:t xml:space="preserve">Statement of Eligibility of trustee on Form T-1 under the Trust Indenture Act of 1939 under the Senior Indenture+ </w:t>
            </w:r>
          </w:p>
        </w:tc>
      </w:tr>
      <w:tr>
        <w:trPr/>
        <w:tc>
          <w:tcPr>
            <w:tcW w:w="1205" w:type="dxa"/>
            <w:tcBorders/>
            <w:shd w:fill="CCEEFF" w:val="clear"/>
            <w:tcMar>
              <w:bottom w:w="0" w:type="dxa"/>
            </w:tcMar>
            <w:vAlign w:val="center"/>
          </w:tcPr>
          <w:p>
            <w:pPr>
              <w:pStyle w:val="TableContents"/>
              <w:bidi w:val="0"/>
              <w:spacing w:before="0" w:after="283"/>
              <w:jc w:val="left"/>
              <w:rPr>
                <w:sz w:val="20"/>
              </w:rPr>
            </w:pPr>
            <w:r>
              <w:rPr>
                <w:sz w:val="20"/>
              </w:rPr>
              <w:t>25.2</w:t>
            </w:r>
          </w:p>
        </w:tc>
        <w:tc>
          <w:tcPr>
            <w:tcW w:w="60" w:type="dxa"/>
            <w:tcBorders/>
            <w:shd w:fill="CCEEFF" w:val="clear"/>
            <w:tcMar>
              <w:bottom w:w="0" w:type="dxa"/>
            </w:tcMar>
            <w:vAlign w:val="center"/>
          </w:tcPr>
          <w:p>
            <w:pPr>
              <w:pStyle w:val="TableContents"/>
              <w:bidi w:val="0"/>
              <w:spacing w:before="0" w:after="283"/>
              <w:jc w:val="left"/>
              <w:rPr/>
            </w:pPr>
            <w:r>
              <w:rPr/>
              <w:t> </w:t>
            </w:r>
          </w:p>
        </w:tc>
        <w:tc>
          <w:tcPr>
            <w:tcW w:w="8940" w:type="dxa"/>
            <w:tcBorders/>
            <w:shd w:fill="CCEEFF" w:val="clear"/>
            <w:tcMar>
              <w:bottom w:w="0" w:type="dxa"/>
            </w:tcMar>
            <w:vAlign w:val="center"/>
          </w:tcPr>
          <w:p>
            <w:pPr>
              <w:pStyle w:val="TableContents"/>
              <w:bidi w:val="0"/>
              <w:spacing w:before="0" w:after="283"/>
              <w:jc w:val="both"/>
              <w:rPr>
                <w:sz w:val="20"/>
              </w:rPr>
            </w:pPr>
            <w:r>
              <w:rPr>
                <w:sz w:val="20"/>
              </w:rPr>
              <w:t>Statement of Eligibility of trustee on Form T-1 under the Trust Indenture Act of 1939 under the Subordinated Indenture+</w:t>
            </w:r>
          </w:p>
        </w:tc>
      </w:tr>
      <w:tr>
        <w:trPr/>
        <w:tc>
          <w:tcPr>
            <w:tcW w:w="1205" w:type="dxa"/>
            <w:tcBorders/>
            <w:shd w:fill="FFFFFF" w:val="clear"/>
            <w:tcMar>
              <w:bottom w:w="0" w:type="dxa"/>
            </w:tcMar>
            <w:vAlign w:val="center"/>
          </w:tcPr>
          <w:p>
            <w:pPr>
              <w:pStyle w:val="TableContents"/>
              <w:bidi w:val="0"/>
              <w:spacing w:before="0" w:after="283"/>
              <w:jc w:val="left"/>
              <w:rPr>
                <w:sz w:val="20"/>
              </w:rPr>
            </w:pPr>
            <w:r>
              <w:rPr>
                <w:sz w:val="20"/>
              </w:rPr>
              <w:t>107</w:t>
            </w:r>
          </w:p>
        </w:tc>
        <w:tc>
          <w:tcPr>
            <w:tcW w:w="60" w:type="dxa"/>
            <w:tcBorders/>
            <w:shd w:fill="FFFFFF" w:val="clear"/>
            <w:tcMar>
              <w:bottom w:w="0" w:type="dxa"/>
            </w:tcMar>
            <w:vAlign w:val="center"/>
          </w:tcPr>
          <w:p>
            <w:pPr>
              <w:pStyle w:val="TableContents"/>
              <w:bidi w:val="0"/>
              <w:spacing w:before="0" w:after="283"/>
              <w:jc w:val="left"/>
              <w:rPr/>
            </w:pPr>
            <w:r>
              <w:rPr/>
              <w:t> </w:t>
            </w:r>
          </w:p>
        </w:tc>
        <w:tc>
          <w:tcPr>
            <w:tcW w:w="8940" w:type="dxa"/>
            <w:tcBorders/>
            <w:shd w:fill="FFFFFF" w:val="clear"/>
            <w:tcMar>
              <w:bottom w:w="0" w:type="dxa"/>
            </w:tcMar>
            <w:vAlign w:val="center"/>
          </w:tcPr>
          <w:p>
            <w:pPr>
              <w:pStyle w:val="TableContents"/>
              <w:bidi w:val="0"/>
              <w:spacing w:before="0" w:after="283"/>
              <w:jc w:val="both"/>
              <w:rPr/>
            </w:pPr>
            <w:hyperlink w:anchor="ea030223901ex-fee.htm">
              <w:r>
                <w:rPr>
                  <w:rStyle w:val="InternetLink"/>
                  <w:sz w:val="20"/>
                </w:rPr>
                <w:t>Calculation of Filing Fee Table*</w:t>
              </w:r>
            </w:hyperlink>
          </w:p>
        </w:tc>
      </w:tr>
    </w:tbl>
    <w:p>
      <w:pPr>
        <w:pStyle w:val="TextBody"/>
        <w:bidi w:val="0"/>
        <w:spacing w:before="0" w:after="0"/>
        <w:ind w:left="0" w:right="0" w:firstLine="72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88"/>
        <w:gridCol w:w="10017"/>
      </w:tblGrid>
      <w:tr>
        <w:trPr/>
        <w:tc>
          <w:tcPr>
            <w:tcW w:w="188" w:type="dxa"/>
            <w:tcBorders/>
            <w:vAlign w:val="center"/>
          </w:tcPr>
          <w:p>
            <w:pPr>
              <w:pStyle w:val="TableContents"/>
              <w:bidi w:val="0"/>
              <w:spacing w:before="0" w:after="283"/>
              <w:jc w:val="left"/>
              <w:rPr>
                <w:sz w:val="20"/>
              </w:rPr>
            </w:pPr>
            <w:r>
              <w:rPr>
                <w:sz w:val="20"/>
              </w:rPr>
              <w:t>*</w:t>
            </w:r>
          </w:p>
        </w:tc>
        <w:tc>
          <w:tcPr>
            <w:tcW w:w="10017" w:type="dxa"/>
            <w:tcBorders/>
            <w:vAlign w:val="center"/>
          </w:tcPr>
          <w:p>
            <w:pPr>
              <w:pStyle w:val="TableContents"/>
              <w:bidi w:val="0"/>
              <w:spacing w:before="0" w:after="283"/>
              <w:jc w:val="left"/>
              <w:rPr>
                <w:sz w:val="20"/>
              </w:rPr>
            </w:pPr>
            <w:r>
              <w:rPr>
                <w:sz w:val="20"/>
              </w:rPr>
              <w:t>Filed herewith</w:t>
            </w:r>
          </w:p>
        </w:tc>
      </w:tr>
      <w:tr>
        <w:trPr/>
        <w:tc>
          <w:tcPr>
            <w:tcW w:w="188" w:type="dxa"/>
            <w:tcBorders/>
            <w:vAlign w:val="center"/>
          </w:tcPr>
          <w:p>
            <w:pPr>
              <w:pStyle w:val="TableContents"/>
              <w:bidi w:val="0"/>
              <w:spacing w:before="0" w:after="283"/>
              <w:jc w:val="left"/>
              <w:rPr/>
            </w:pPr>
            <w:r>
              <w:rPr/>
              <w:t> </w:t>
            </w:r>
          </w:p>
        </w:tc>
        <w:tc>
          <w:tcPr>
            <w:tcW w:w="10017" w:type="dxa"/>
            <w:tcBorders/>
            <w:vAlign w:val="center"/>
          </w:tcPr>
          <w:p>
            <w:pPr>
              <w:pStyle w:val="TableContents"/>
              <w:bidi w:val="0"/>
              <w:spacing w:before="0" w:after="283"/>
              <w:jc w:val="left"/>
              <w:rPr/>
            </w:pPr>
            <w:r>
              <w:rPr/>
              <w:t> </w:t>
            </w:r>
          </w:p>
        </w:tc>
      </w:tr>
      <w:tr>
        <w:trPr/>
        <w:tc>
          <w:tcPr>
            <w:tcW w:w="188" w:type="dxa"/>
            <w:tcBorders/>
            <w:vAlign w:val="center"/>
          </w:tcPr>
          <w:p>
            <w:pPr>
              <w:pStyle w:val="TableContents"/>
              <w:bidi w:val="0"/>
              <w:spacing w:before="0" w:after="283"/>
              <w:jc w:val="left"/>
              <w:rPr>
                <w:sz w:val="20"/>
              </w:rPr>
            </w:pPr>
            <w:r>
              <w:rPr>
                <w:sz w:val="20"/>
              </w:rPr>
              <w:t>**</w:t>
            </w:r>
          </w:p>
        </w:tc>
        <w:tc>
          <w:tcPr>
            <w:tcW w:w="10017" w:type="dxa"/>
            <w:tcBorders/>
            <w:vAlign w:val="center"/>
          </w:tcPr>
          <w:p>
            <w:pPr>
              <w:pStyle w:val="TableContents"/>
              <w:bidi w:val="0"/>
              <w:spacing w:before="0" w:after="283"/>
              <w:jc w:val="both"/>
              <w:rPr>
                <w:sz w:val="20"/>
              </w:rPr>
            </w:pPr>
            <w:r>
              <w:rPr>
                <w:sz w:val="20"/>
              </w:rPr>
              <w:t>To be filed by amendment or as an exhibit to a filing with the SEC under Section 13 or 15(d) of the Securities Exchange Act of 1934 and incorporated by reference in connection with the offering of securities to the extent required for any such offering.</w:t>
            </w:r>
          </w:p>
        </w:tc>
      </w:tr>
      <w:tr>
        <w:trPr/>
        <w:tc>
          <w:tcPr>
            <w:tcW w:w="188" w:type="dxa"/>
            <w:tcBorders/>
            <w:vAlign w:val="center"/>
          </w:tcPr>
          <w:p>
            <w:pPr>
              <w:pStyle w:val="TableContents"/>
              <w:bidi w:val="0"/>
              <w:spacing w:before="0" w:after="283"/>
              <w:jc w:val="left"/>
              <w:rPr/>
            </w:pPr>
            <w:r>
              <w:rPr/>
              <w:t> </w:t>
            </w:r>
          </w:p>
        </w:tc>
        <w:tc>
          <w:tcPr>
            <w:tcW w:w="10017" w:type="dxa"/>
            <w:tcBorders/>
            <w:vAlign w:val="center"/>
          </w:tcPr>
          <w:p>
            <w:pPr>
              <w:pStyle w:val="TableContents"/>
              <w:bidi w:val="0"/>
              <w:spacing w:before="0" w:after="283"/>
              <w:jc w:val="left"/>
              <w:rPr/>
            </w:pPr>
            <w:r>
              <w:rPr/>
              <w:t> </w:t>
            </w:r>
          </w:p>
        </w:tc>
      </w:tr>
      <w:tr>
        <w:trPr/>
        <w:tc>
          <w:tcPr>
            <w:tcW w:w="188" w:type="dxa"/>
            <w:tcBorders/>
            <w:vAlign w:val="center"/>
          </w:tcPr>
          <w:p>
            <w:pPr>
              <w:pStyle w:val="TableContents"/>
              <w:bidi w:val="0"/>
              <w:spacing w:before="0" w:after="283"/>
              <w:jc w:val="left"/>
              <w:rPr>
                <w:sz w:val="20"/>
              </w:rPr>
            </w:pPr>
            <w:r>
              <w:rPr>
                <w:sz w:val="20"/>
              </w:rPr>
              <w:t>+</w:t>
            </w:r>
          </w:p>
        </w:tc>
        <w:tc>
          <w:tcPr>
            <w:tcW w:w="10017" w:type="dxa"/>
            <w:tcBorders/>
            <w:vAlign w:val="center"/>
          </w:tcPr>
          <w:p>
            <w:pPr>
              <w:pStyle w:val="TableContents"/>
              <w:bidi w:val="0"/>
              <w:spacing w:before="0" w:after="283"/>
              <w:jc w:val="both"/>
              <w:rPr>
                <w:sz w:val="20"/>
              </w:rPr>
            </w:pPr>
            <w:r>
              <w:rPr>
                <w:sz w:val="20"/>
              </w:rPr>
              <w:t>To be filed pursuant to Rule 305(b)(2) of the Trust Indenture Act, if applicable.</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II-5</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Item 17. Undertakings</w:t>
      </w:r>
    </w:p>
    <w:p>
      <w:pPr>
        <w:pStyle w:val="TextBody"/>
        <w:bidi w:val="0"/>
        <w:spacing w:before="0" w:after="0"/>
        <w:ind w:left="0" w:right="0" w:hanging="0"/>
        <w:jc w:val="center"/>
        <w:rPr>
          <w:caps w:val="false"/>
          <w:smallCaps w:val="false"/>
        </w:rPr>
      </w:pPr>
      <w:r>
        <w:rPr>
          <w:caps w:val="false"/>
          <w:smallCaps w:val="false"/>
        </w:rPr>
        <w:t> </w:t>
      </w:r>
    </w:p>
    <w:tbl>
      <w:tblPr>
        <w:tblW w:w="4068" w:type="dxa"/>
        <w:jc w:val="left"/>
        <w:tblInd w:w="0" w:type="dxa"/>
        <w:tblLayout w:type="fixed"/>
        <w:tblCellMar>
          <w:top w:w="0" w:type="dxa"/>
          <w:left w:w="0" w:type="dxa"/>
          <w:bottom w:w="0" w:type="dxa"/>
          <w:right w:w="0" w:type="dxa"/>
        </w:tblCellMar>
      </w:tblPr>
      <w:tblGrid>
        <w:gridCol w:w="38"/>
        <w:gridCol w:w="230"/>
        <w:gridCol w:w="3800"/>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20"/>
              </w:rPr>
            </w:pPr>
            <w:r>
              <w:rPr>
                <w:sz w:val="20"/>
              </w:rPr>
              <w:t>(a)</w:t>
            </w:r>
          </w:p>
        </w:tc>
        <w:tc>
          <w:tcPr>
            <w:tcW w:w="3800" w:type="dxa"/>
            <w:tcBorders/>
            <w:vAlign w:val="center"/>
          </w:tcPr>
          <w:p>
            <w:pPr>
              <w:pStyle w:val="TableContents"/>
              <w:bidi w:val="0"/>
              <w:spacing w:before="0" w:after="283"/>
              <w:jc w:val="both"/>
              <w:rPr>
                <w:sz w:val="20"/>
              </w:rPr>
            </w:pPr>
            <w:r>
              <w:rPr>
                <w:sz w:val="20"/>
              </w:rPr>
              <w:t>The undersigned registrant hereby undertakes: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44"/>
        <w:gridCol w:w="9923"/>
      </w:tblGrid>
      <w:tr>
        <w:trPr/>
        <w:tc>
          <w:tcPr>
            <w:tcW w:w="38"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20"/>
              </w:rPr>
            </w:pPr>
            <w:r>
              <w:rPr>
                <w:sz w:val="20"/>
              </w:rPr>
              <w:t>(1)</w:t>
            </w:r>
          </w:p>
        </w:tc>
        <w:tc>
          <w:tcPr>
            <w:tcW w:w="9923" w:type="dxa"/>
            <w:tcBorders/>
            <w:vAlign w:val="center"/>
          </w:tcPr>
          <w:p>
            <w:pPr>
              <w:pStyle w:val="TableContents"/>
              <w:bidi w:val="0"/>
              <w:spacing w:before="0" w:after="283"/>
              <w:jc w:val="both"/>
              <w:rPr>
                <w:sz w:val="20"/>
              </w:rPr>
            </w:pPr>
            <w:r>
              <w:rPr>
                <w:sz w:val="20"/>
              </w:rPr>
              <w:t>To file, during any period in which offers or sales are being made, a post-effective amendment to this registration statement:</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06"/>
        <w:gridCol w:w="9924"/>
      </w:tblGrid>
      <w:tr>
        <w:trPr/>
        <w:tc>
          <w:tcPr>
            <w:tcW w:w="75" w:type="dxa"/>
            <w:tcBorders/>
            <w:vAlign w:val="center"/>
          </w:tcPr>
          <w:p>
            <w:pPr>
              <w:pStyle w:val="TableContents"/>
              <w:bidi w:val="0"/>
              <w:spacing w:before="0" w:after="283"/>
              <w:jc w:val="left"/>
              <w:rPr/>
            </w:pPr>
            <w:r>
              <w:rPr/>
              <w:t> </w:t>
            </w:r>
          </w:p>
        </w:tc>
        <w:tc>
          <w:tcPr>
            <w:tcW w:w="206" w:type="dxa"/>
            <w:tcBorders/>
            <w:vAlign w:val="center"/>
          </w:tcPr>
          <w:p>
            <w:pPr>
              <w:pStyle w:val="TableContents"/>
              <w:bidi w:val="0"/>
              <w:spacing w:before="0" w:after="283"/>
              <w:jc w:val="left"/>
              <w:rPr>
                <w:sz w:val="20"/>
              </w:rPr>
            </w:pPr>
            <w:r>
              <w:rPr>
                <w:sz w:val="20"/>
              </w:rPr>
              <w:t>(i)</w:t>
            </w:r>
          </w:p>
        </w:tc>
        <w:tc>
          <w:tcPr>
            <w:tcW w:w="9924" w:type="dxa"/>
            <w:tcBorders/>
            <w:vAlign w:val="center"/>
          </w:tcPr>
          <w:p>
            <w:pPr>
              <w:pStyle w:val="TableContents"/>
              <w:bidi w:val="0"/>
              <w:spacing w:before="0" w:after="283"/>
              <w:jc w:val="left"/>
              <w:rPr>
                <w:sz w:val="20"/>
              </w:rPr>
            </w:pPr>
            <w:r>
              <w:rPr>
                <w:sz w:val="20"/>
              </w:rPr>
              <w:t>To include any prospectus required by Section 10(a)(3) of the Securities Act of 1933;</w:t>
            </w:r>
          </w:p>
        </w:tc>
      </w:tr>
      <w:tr>
        <w:trPr/>
        <w:tc>
          <w:tcPr>
            <w:tcW w:w="75" w:type="dxa"/>
            <w:tcBorders/>
            <w:vAlign w:val="center"/>
          </w:tcPr>
          <w:p>
            <w:pPr>
              <w:pStyle w:val="TableContents"/>
              <w:bidi w:val="0"/>
              <w:spacing w:before="0" w:after="283"/>
              <w:jc w:val="left"/>
              <w:rPr/>
            </w:pPr>
            <w:r>
              <w:rPr/>
              <w:t> </w:t>
            </w:r>
          </w:p>
        </w:tc>
        <w:tc>
          <w:tcPr>
            <w:tcW w:w="206" w:type="dxa"/>
            <w:tcBorders/>
            <w:vAlign w:val="center"/>
          </w:tcPr>
          <w:p>
            <w:pPr>
              <w:pStyle w:val="TableContents"/>
              <w:bidi w:val="0"/>
              <w:spacing w:before="0" w:after="283"/>
              <w:jc w:val="left"/>
              <w:rPr/>
            </w:pPr>
            <w:r>
              <w:rPr/>
              <w:t> </w:t>
            </w:r>
          </w:p>
        </w:tc>
        <w:tc>
          <w:tcPr>
            <w:tcW w:w="9924"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206" w:type="dxa"/>
            <w:tcBorders/>
            <w:vAlign w:val="center"/>
          </w:tcPr>
          <w:p>
            <w:pPr>
              <w:pStyle w:val="TableContents"/>
              <w:bidi w:val="0"/>
              <w:spacing w:before="0" w:after="283"/>
              <w:jc w:val="left"/>
              <w:rPr>
                <w:sz w:val="20"/>
              </w:rPr>
            </w:pPr>
            <w:r>
              <w:rPr>
                <w:sz w:val="20"/>
              </w:rPr>
              <w:t>(ii)</w:t>
            </w:r>
          </w:p>
        </w:tc>
        <w:tc>
          <w:tcPr>
            <w:tcW w:w="9924" w:type="dxa"/>
            <w:tcBorders/>
            <w:vAlign w:val="center"/>
          </w:tcPr>
          <w:p>
            <w:pPr>
              <w:pStyle w:val="TableContents"/>
              <w:bidi w:val="0"/>
              <w:spacing w:before="0" w:after="283"/>
              <w:jc w:val="both"/>
              <w:rPr>
                <w:sz w:val="20"/>
              </w:rPr>
            </w:pPr>
            <w:r>
              <w:rPr>
                <w:sz w:val="20"/>
              </w:rPr>
              <w:t>To reflect in the prospectus any facts or events arising after the effective date of the registration statement (or the most recent post-effective amendment thereof) which, individually or in the aggregate, represent a fundamental change in the information set forth in the registration statement. Notwithstanding the foregoing, any increase or decrease in volume of securities offered (if the total dollar value of securities offered would not exceed that which was registered) and any deviation from the low or high end of the estimated maximum offering range may be reflected in the form of prospectus filed with the Commission pursuant to Rule 424(b) (§ 230.424(b)</w:t>
            </w:r>
            <w:r>
              <w:rPr>
                <w:sz w:val="20"/>
                <w:shd w:fill="FFFFFF" w:val="clear"/>
              </w:rPr>
              <w:t> </w:t>
            </w:r>
            <w:r>
              <w:rPr>
                <w:sz w:val="20"/>
              </w:rPr>
              <w:t>of this chapter) if, in the aggregate, the changes in volume and price represent no more than 20% change in the maximum aggregate offering price set forth in the “Calculation of Filing Fee Tables” or “Calculation of Registration Fee” table, as applicable, in the effective registration statement.</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38"/>
        <w:gridCol w:w="294"/>
        <w:gridCol w:w="9873"/>
      </w:tblGrid>
      <w:tr>
        <w:trPr/>
        <w:tc>
          <w:tcPr>
            <w:tcW w:w="38"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20"/>
              </w:rPr>
            </w:pPr>
            <w:r>
              <w:rPr>
                <w:sz w:val="20"/>
              </w:rPr>
              <w:t>(iii)</w:t>
            </w:r>
          </w:p>
        </w:tc>
        <w:tc>
          <w:tcPr>
            <w:tcW w:w="9873" w:type="dxa"/>
            <w:tcBorders/>
            <w:vAlign w:val="center"/>
          </w:tcPr>
          <w:p>
            <w:pPr>
              <w:pStyle w:val="TableContents"/>
              <w:bidi w:val="0"/>
              <w:spacing w:before="0" w:after="283"/>
              <w:jc w:val="both"/>
              <w:rPr>
                <w:sz w:val="20"/>
              </w:rPr>
            </w:pPr>
            <w:r>
              <w:rPr>
                <w:sz w:val="20"/>
              </w:rPr>
              <w:t>To include any material information with respect to the plan of distribution not previously disclosed in the registration statement or any material change to such information in the registration statement;</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provided, however,</w:t>
      </w:r>
      <w:r>
        <w:rPr>
          <w:rFonts w:ascii="Times New Roman;Times;Serif" w:hAnsi="Times New Roman;Times;Serif"/>
          <w:b w:val="false"/>
          <w:i w:val="false"/>
          <w:caps w:val="false"/>
          <w:smallCaps w:val="false"/>
          <w:sz w:val="20"/>
        </w:rPr>
        <w:t xml:space="preserve"> Paragraphs (a)(1)(i), (a)(1)(ii) and (a)(1)(iii) of this section do not apply if the information required to be included in a post-effective amendment by those paragraphs is contained in reports filed with or furnished to the Commission by the registrant pursuant to section 13 or section 15(d) of the Securities Exchange Act of 1934 that are incorporated by reference in the registration statement, or is contained in a form of prospectus filed pursuant to Rule 424(b) that is part of the registration statement.</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06"/>
        <w:gridCol w:w="9924"/>
      </w:tblGrid>
      <w:tr>
        <w:trPr/>
        <w:tc>
          <w:tcPr>
            <w:tcW w:w="75" w:type="dxa"/>
            <w:tcBorders/>
            <w:vAlign w:val="center"/>
          </w:tcPr>
          <w:p>
            <w:pPr>
              <w:pStyle w:val="TableContents"/>
              <w:bidi w:val="0"/>
              <w:spacing w:before="0" w:after="283"/>
              <w:jc w:val="left"/>
              <w:rPr/>
            </w:pPr>
            <w:r>
              <w:rPr/>
              <w:t> </w:t>
            </w:r>
          </w:p>
        </w:tc>
        <w:tc>
          <w:tcPr>
            <w:tcW w:w="206" w:type="dxa"/>
            <w:tcBorders/>
            <w:vAlign w:val="center"/>
          </w:tcPr>
          <w:p>
            <w:pPr>
              <w:pStyle w:val="TableContents"/>
              <w:bidi w:val="0"/>
              <w:spacing w:before="0" w:after="283"/>
              <w:jc w:val="left"/>
              <w:rPr>
                <w:sz w:val="20"/>
              </w:rPr>
            </w:pPr>
            <w:r>
              <w:rPr>
                <w:sz w:val="20"/>
              </w:rPr>
              <w:t>(2)</w:t>
            </w:r>
          </w:p>
        </w:tc>
        <w:tc>
          <w:tcPr>
            <w:tcW w:w="9924" w:type="dxa"/>
            <w:tcBorders/>
            <w:vAlign w:val="center"/>
          </w:tcPr>
          <w:p>
            <w:pPr>
              <w:pStyle w:val="TableContents"/>
              <w:bidi w:val="0"/>
              <w:spacing w:before="0" w:after="283"/>
              <w:jc w:val="both"/>
              <w:rPr>
                <w:sz w:val="20"/>
              </w:rPr>
            </w:pPr>
            <w:r>
              <w:rPr>
                <w:sz w:val="20"/>
              </w:rPr>
              <w:t>That, for the purpose of determining any liability under the Securities Act of 1933, each such post-effective amendment shall be deemed to be a new registration statement relating to the securities offered therein, and the offering of such securities at that time shall be deemed to be the initial bona fide offering thereof.</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29"/>
        <w:gridCol w:w="9901"/>
      </w:tblGrid>
      <w:tr>
        <w:trPr/>
        <w:tc>
          <w:tcPr>
            <w:tcW w:w="75" w:type="dxa"/>
            <w:tcBorders/>
            <w:vAlign w:val="center"/>
          </w:tcPr>
          <w:p>
            <w:pPr>
              <w:pStyle w:val="TableContents"/>
              <w:bidi w:val="0"/>
              <w:spacing w:before="0" w:after="283"/>
              <w:jc w:val="left"/>
              <w:rPr/>
            </w:pPr>
            <w:r>
              <w:rPr/>
              <w:t> </w:t>
            </w:r>
          </w:p>
        </w:tc>
        <w:tc>
          <w:tcPr>
            <w:tcW w:w="229" w:type="dxa"/>
            <w:tcBorders/>
            <w:vAlign w:val="center"/>
          </w:tcPr>
          <w:p>
            <w:pPr>
              <w:pStyle w:val="TableContents"/>
              <w:bidi w:val="0"/>
              <w:spacing w:before="0" w:after="283"/>
              <w:jc w:val="left"/>
              <w:rPr>
                <w:sz w:val="20"/>
              </w:rPr>
            </w:pPr>
            <w:r>
              <w:rPr>
                <w:sz w:val="20"/>
              </w:rPr>
              <w:t>(3)</w:t>
            </w:r>
          </w:p>
        </w:tc>
        <w:tc>
          <w:tcPr>
            <w:tcW w:w="9901" w:type="dxa"/>
            <w:tcBorders/>
            <w:vAlign w:val="center"/>
          </w:tcPr>
          <w:p>
            <w:pPr>
              <w:pStyle w:val="TableContents"/>
              <w:bidi w:val="0"/>
              <w:spacing w:before="0" w:after="283"/>
              <w:jc w:val="both"/>
              <w:rPr>
                <w:sz w:val="20"/>
              </w:rPr>
            </w:pPr>
            <w:r>
              <w:rPr>
                <w:sz w:val="20"/>
              </w:rPr>
              <w:t>To remove from registration by means of a post-effective amendment any of the securities being registered which remain unsold at the termination of the offering.</w:t>
            </w:r>
          </w:p>
        </w:tc>
      </w:tr>
    </w:tbl>
    <w:p>
      <w:pPr>
        <w:pStyle w:val="TextBody"/>
        <w:bidi w:val="0"/>
        <w:spacing w:before="0" w:after="0"/>
        <w:ind w:left="0" w:right="0" w:hanging="0"/>
        <w:jc w:val="left"/>
        <w:rPr>
          <w:caps w:val="false"/>
          <w:smallCaps w:val="false"/>
        </w:rPr>
      </w:pPr>
      <w:r>
        <w:rPr>
          <w:caps w:val="false"/>
          <w:smallCaps w:val="false"/>
        </w:rPr>
        <w:t> </w:t>
      </w:r>
    </w:p>
    <w:tbl>
      <w:tblPr>
        <w:tblW w:w="8080" w:type="dxa"/>
        <w:jc w:val="left"/>
        <w:tblInd w:w="0" w:type="dxa"/>
        <w:tblLayout w:type="fixed"/>
        <w:tblCellMar>
          <w:top w:w="0" w:type="dxa"/>
          <w:left w:w="0" w:type="dxa"/>
          <w:bottom w:w="0" w:type="dxa"/>
          <w:right w:w="0" w:type="dxa"/>
        </w:tblCellMar>
      </w:tblPr>
      <w:tblGrid>
        <w:gridCol w:w="75"/>
        <w:gridCol w:w="245"/>
        <w:gridCol w:w="7760"/>
      </w:tblGrid>
      <w:tr>
        <w:trPr/>
        <w:tc>
          <w:tcPr>
            <w:tcW w:w="75"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283"/>
              <w:jc w:val="left"/>
              <w:rPr>
                <w:sz w:val="20"/>
              </w:rPr>
            </w:pPr>
            <w:r>
              <w:rPr>
                <w:sz w:val="20"/>
              </w:rPr>
              <w:t>(4)</w:t>
            </w:r>
          </w:p>
        </w:tc>
        <w:tc>
          <w:tcPr>
            <w:tcW w:w="7760" w:type="dxa"/>
            <w:tcBorders/>
            <w:vAlign w:val="center"/>
          </w:tcPr>
          <w:p>
            <w:pPr>
              <w:pStyle w:val="TableContents"/>
              <w:bidi w:val="0"/>
              <w:spacing w:before="0" w:after="283"/>
              <w:jc w:val="both"/>
              <w:rPr>
                <w:sz w:val="20"/>
              </w:rPr>
            </w:pPr>
            <w:r>
              <w:rPr>
                <w:sz w:val="20"/>
              </w:rPr>
              <w:t>That, for the purpose of determining liability under the Securities Act of 1933 to any purchaser:</w:t>
            </w:r>
          </w:p>
        </w:tc>
      </w:tr>
    </w:tbl>
    <w:p>
      <w:pPr>
        <w:pStyle w:val="TextBody"/>
        <w:bidi w:val="0"/>
        <w:spacing w:before="0" w:after="0"/>
        <w:ind w:left="0" w:right="0" w:firstLine="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308"/>
        <w:gridCol w:w="9859"/>
      </w:tblGrid>
      <w:tr>
        <w:trPr/>
        <w:tc>
          <w:tcPr>
            <w:tcW w:w="3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pPr>
            <w:r>
              <w:rPr/>
              <w:t>(A)</w:t>
            </w:r>
          </w:p>
        </w:tc>
        <w:tc>
          <w:tcPr>
            <w:tcW w:w="9859" w:type="dxa"/>
            <w:tcBorders/>
            <w:vAlign w:val="center"/>
          </w:tcPr>
          <w:p>
            <w:pPr>
              <w:pStyle w:val="TableContents"/>
              <w:bidi w:val="0"/>
              <w:spacing w:before="0" w:after="283"/>
              <w:jc w:val="both"/>
              <w:rPr/>
            </w:pPr>
            <w:r>
              <w:rPr/>
              <w:t>Each prospectus filed by the registrant pursuant to Rule 424(b)(3) shall be deemed to be part of the registration statement as of the date the filed prospectus was deemed part of and included in the registration statement; and</w:t>
            </w:r>
          </w:p>
        </w:tc>
      </w:tr>
    </w:tbl>
    <w:p>
      <w:pPr>
        <w:pStyle w:val="TextBody"/>
        <w:bidi w:val="0"/>
        <w:spacing w:before="0" w:after="0"/>
        <w:ind w:left="0" w:right="0" w:firstLine="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64"/>
        <w:gridCol w:w="9903"/>
      </w:tblGrid>
      <w:tr>
        <w:trPr/>
        <w:tc>
          <w:tcPr>
            <w:tcW w:w="38"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pPr>
            <w:r>
              <w:rPr/>
              <w:t>(B)</w:t>
            </w:r>
          </w:p>
        </w:tc>
        <w:tc>
          <w:tcPr>
            <w:tcW w:w="9903" w:type="dxa"/>
            <w:tcBorders/>
            <w:vAlign w:val="center"/>
          </w:tcPr>
          <w:p>
            <w:pPr>
              <w:pStyle w:val="TableContents"/>
              <w:bidi w:val="0"/>
              <w:spacing w:before="0" w:after="283"/>
              <w:jc w:val="both"/>
              <w:rPr/>
            </w:pPr>
            <w:r>
              <w:rPr/>
              <w:t>Each prospectus required to be filed pursuant to Rule 424(b)(2), (b)(5), or (b)(7) as part of a registration statement in reliance on Rule 430B relating to an offering made pursuant to Rule 415(a)(1)(i), (vii), or (x) for the purpose of providing the information required by section 10(a) of the Securities Act of 1933 shall be deemed to be part of and included in the registration statement as of the earlier of the date such form of prospectus is first used after effectiveness or the date of the first contract of sale of securities in the offering described in the prospectus. As provided in Rule 430B, for liability purposes of the issuer and any person that is at that date an underwriter, such date shall be deemed to be a new effective date of the registration statement relating to the securities in the registration statement to which that prospectus relates, and the offering of such securities at that time shall be deemed to be the initial bona fide offering thereof. Provided, however, that no statement made in a registration statement or prospectus that is part of the registration statement or made in a document incorporated or deemed incorporated by reference into the registration statement or prospectus that is part of the registration statement will, as to a purchaser with a time of contract of sale prior to such effective date, supersede or modify any statement that was made in the registration statement or prospectus that was part of the registration statement or made in any such document immediately prior to such effective date; or</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II-6</w:t>
      </w:r>
    </w:p>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95"/>
        <w:gridCol w:w="9935"/>
      </w:tblGrid>
      <w:tr>
        <w:trPr/>
        <w:tc>
          <w:tcPr>
            <w:tcW w:w="75" w:type="dxa"/>
            <w:tcBorders/>
            <w:vAlign w:val="center"/>
          </w:tcPr>
          <w:p>
            <w:pPr>
              <w:pStyle w:val="TableContents"/>
              <w:bidi w:val="0"/>
              <w:spacing w:before="0" w:after="283"/>
              <w:jc w:val="left"/>
              <w:rPr/>
            </w:pPr>
            <w:r>
              <w:rPr/>
              <w:t> </w:t>
            </w:r>
          </w:p>
        </w:tc>
        <w:tc>
          <w:tcPr>
            <w:tcW w:w="195" w:type="dxa"/>
            <w:tcBorders/>
            <w:vAlign w:val="center"/>
          </w:tcPr>
          <w:p>
            <w:pPr>
              <w:pStyle w:val="TableContents"/>
              <w:bidi w:val="0"/>
              <w:spacing w:before="0" w:after="283"/>
              <w:jc w:val="left"/>
              <w:rPr>
                <w:sz w:val="20"/>
              </w:rPr>
            </w:pPr>
            <w:r>
              <w:rPr>
                <w:sz w:val="20"/>
              </w:rPr>
              <w:t>(5)</w:t>
            </w:r>
          </w:p>
        </w:tc>
        <w:tc>
          <w:tcPr>
            <w:tcW w:w="9935" w:type="dxa"/>
            <w:tcBorders/>
            <w:vAlign w:val="center"/>
          </w:tcPr>
          <w:p>
            <w:pPr>
              <w:pStyle w:val="TableContents"/>
              <w:bidi w:val="0"/>
              <w:spacing w:before="0" w:after="283"/>
              <w:jc w:val="both"/>
              <w:rPr>
                <w:sz w:val="20"/>
              </w:rPr>
            </w:pPr>
            <w:r>
              <w:rPr>
                <w:sz w:val="20"/>
              </w:rPr>
              <w:t>That, for the purpose of determining liability of the registrant under the Securities Act of 1933 to any purchaser in the initial distribution of the securities, the undersigned registrant undertakes that in a primary offering of securities of the undersigned registrant pursuant to this registration statement, regardless of the underwriting method used to sell the securities to the purchaser, if the securities are offered or sold to such purchaser by means of any of the following communications, the undersigned registrant will be a seller to the purchaser and will be considered to offer or sell such securities to such purchaser:</w:t>
            </w:r>
          </w:p>
        </w:tc>
      </w:tr>
    </w:tbl>
    <w:p>
      <w:pPr>
        <w:pStyle w:val="TextBody"/>
        <w:bidi w:val="0"/>
        <w:spacing w:before="0" w:after="0"/>
        <w:ind w:left="0" w:right="0" w:firstLine="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11"/>
        <w:gridCol w:w="9956"/>
      </w:tblGrid>
      <w:tr>
        <w:trPr/>
        <w:tc>
          <w:tcPr>
            <w:tcW w:w="3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pPr>
            <w:r>
              <w:rPr/>
              <w:t>(i)</w:t>
            </w:r>
          </w:p>
        </w:tc>
        <w:tc>
          <w:tcPr>
            <w:tcW w:w="9956" w:type="dxa"/>
            <w:tcBorders/>
            <w:vAlign w:val="center"/>
          </w:tcPr>
          <w:p>
            <w:pPr>
              <w:pStyle w:val="TableContents"/>
              <w:bidi w:val="0"/>
              <w:spacing w:before="0" w:after="283"/>
              <w:jc w:val="both"/>
              <w:rPr/>
            </w:pPr>
            <w:r>
              <w:rPr/>
              <w:t>Any preliminary prospectus or prospectus of the undersigned registrant relating to the offering required to be filed pursuant to Rule 424;</w:t>
            </w:r>
          </w:p>
        </w:tc>
      </w:tr>
    </w:tbl>
    <w:p>
      <w:pPr>
        <w:pStyle w:val="TextBody"/>
        <w:bidi w:val="0"/>
        <w:spacing w:before="0" w:after="0"/>
        <w:ind w:left="0" w:right="0" w:firstLine="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62"/>
        <w:gridCol w:w="9905"/>
      </w:tblGrid>
      <w:tr>
        <w:trPr/>
        <w:tc>
          <w:tcPr>
            <w:tcW w:w="38"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pPr>
            <w:r>
              <w:rPr/>
              <w:t>(ii)</w:t>
            </w:r>
          </w:p>
        </w:tc>
        <w:tc>
          <w:tcPr>
            <w:tcW w:w="9905" w:type="dxa"/>
            <w:tcBorders/>
            <w:vAlign w:val="center"/>
          </w:tcPr>
          <w:p>
            <w:pPr>
              <w:pStyle w:val="TableContents"/>
              <w:bidi w:val="0"/>
              <w:spacing w:before="0" w:after="283"/>
              <w:jc w:val="both"/>
              <w:rPr/>
            </w:pPr>
            <w:r>
              <w:rPr/>
              <w:t>Any free writing prospectus relating to the offering prepared by or on behalf of the undersigned registrant or used or referred to by the undersigned registrant;</w:t>
            </w:r>
          </w:p>
        </w:tc>
      </w:tr>
    </w:tbl>
    <w:p>
      <w:pPr>
        <w:pStyle w:val="TextBody"/>
        <w:bidi w:val="0"/>
        <w:spacing w:before="0" w:after="0"/>
        <w:ind w:left="0" w:right="0" w:firstLine="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309"/>
        <w:gridCol w:w="9858"/>
      </w:tblGrid>
      <w:tr>
        <w:trPr/>
        <w:tc>
          <w:tcPr>
            <w:tcW w:w="38"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pPr>
            <w:r>
              <w:rPr/>
              <w:t>(iii)</w:t>
            </w:r>
          </w:p>
        </w:tc>
        <w:tc>
          <w:tcPr>
            <w:tcW w:w="9858" w:type="dxa"/>
            <w:tcBorders/>
            <w:vAlign w:val="center"/>
          </w:tcPr>
          <w:p>
            <w:pPr>
              <w:pStyle w:val="TableContents"/>
              <w:bidi w:val="0"/>
              <w:spacing w:before="0" w:after="283"/>
              <w:jc w:val="both"/>
              <w:rPr/>
            </w:pPr>
            <w:r>
              <w:rPr/>
              <w:t>The portion of any other free writing prospectus relating to the offering containing material information about the undersigned registrant or its securities provided by or on behalf of the undersigned registrant; and</w:t>
            </w:r>
          </w:p>
        </w:tc>
      </w:tr>
    </w:tbl>
    <w:p>
      <w:pPr>
        <w:pStyle w:val="TextBody"/>
        <w:bidi w:val="0"/>
        <w:spacing w:before="0" w:after="0"/>
        <w:ind w:left="0" w:right="0" w:firstLine="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345"/>
        <w:gridCol w:w="9822"/>
      </w:tblGrid>
      <w:tr>
        <w:trPr/>
        <w:tc>
          <w:tcPr>
            <w:tcW w:w="38" w:type="dxa"/>
            <w:tcBorders/>
            <w:vAlign w:val="center"/>
          </w:tcPr>
          <w:p>
            <w:pPr>
              <w:pStyle w:val="TableContents"/>
              <w:bidi w:val="0"/>
              <w:spacing w:before="0" w:after="283"/>
              <w:jc w:val="left"/>
              <w:rPr>
                <w:sz w:val="4"/>
                <w:szCs w:val="4"/>
              </w:rPr>
            </w:pPr>
            <w:r>
              <w:rPr>
                <w:sz w:val="4"/>
                <w:szCs w:val="4"/>
              </w:rPr>
            </w:r>
          </w:p>
        </w:tc>
        <w:tc>
          <w:tcPr>
            <w:tcW w:w="345" w:type="dxa"/>
            <w:tcBorders/>
            <w:vAlign w:val="center"/>
          </w:tcPr>
          <w:p>
            <w:pPr>
              <w:pStyle w:val="TableContents"/>
              <w:bidi w:val="0"/>
              <w:spacing w:before="0" w:after="283"/>
              <w:jc w:val="left"/>
              <w:rPr/>
            </w:pPr>
            <w:r>
              <w:rPr/>
              <w:t>(iv)</w:t>
            </w:r>
          </w:p>
        </w:tc>
        <w:tc>
          <w:tcPr>
            <w:tcW w:w="9822" w:type="dxa"/>
            <w:tcBorders/>
            <w:vAlign w:val="center"/>
          </w:tcPr>
          <w:p>
            <w:pPr>
              <w:pStyle w:val="TableContents"/>
              <w:bidi w:val="0"/>
              <w:spacing w:before="0" w:after="283"/>
              <w:jc w:val="both"/>
              <w:rPr/>
            </w:pPr>
            <w:r>
              <w:rPr/>
              <w:t>Any other communication that is an offer in the offering made by the undersigned registrant to the purchaser.</w:t>
            </w:r>
          </w:p>
        </w:tc>
      </w:tr>
    </w:tbl>
    <w:p>
      <w:pPr>
        <w:pStyle w:val="TextBody"/>
        <w:bidi w:val="0"/>
        <w:spacing w:before="0" w:after="0"/>
        <w:ind w:left="0" w:right="0" w:firstLine="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42"/>
        <w:gridCol w:w="9925"/>
      </w:tblGrid>
      <w:tr>
        <w:trPr/>
        <w:tc>
          <w:tcPr>
            <w:tcW w:w="38"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pPr>
            <w:r>
              <w:rPr/>
              <w:t>(6)</w:t>
            </w:r>
          </w:p>
        </w:tc>
        <w:tc>
          <w:tcPr>
            <w:tcW w:w="9925" w:type="dxa"/>
            <w:tcBorders/>
            <w:vAlign w:val="center"/>
          </w:tcPr>
          <w:p>
            <w:pPr>
              <w:pStyle w:val="TableContents"/>
              <w:bidi w:val="0"/>
              <w:spacing w:before="0" w:after="283"/>
              <w:jc w:val="both"/>
              <w:rPr/>
            </w:pPr>
            <w:r>
              <w:rPr/>
              <w:t>To file an application for the purpose of determining the eligibility of the trustee to act under subsection (a) of section 310 of the Trust Indenture Act (“Act”) in accordance with the rules and regulations prescribed by the Commission under section 305(b)(2) of the Act.</w:t>
            </w:r>
          </w:p>
        </w:tc>
      </w:tr>
    </w:tbl>
    <w:p>
      <w:pPr>
        <w:pStyle w:val="TextBody"/>
        <w:bidi w:val="0"/>
        <w:spacing w:before="0" w:after="0"/>
        <w:ind w:left="0" w:right="0" w:firstLine="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26"/>
        <w:gridCol w:w="9941"/>
      </w:tblGrid>
      <w:tr>
        <w:trPr/>
        <w:tc>
          <w:tcPr>
            <w:tcW w:w="38"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pPr>
            <w:r>
              <w:rPr/>
              <w:t>(7)</w:t>
            </w:r>
          </w:p>
        </w:tc>
        <w:tc>
          <w:tcPr>
            <w:tcW w:w="9941" w:type="dxa"/>
            <w:tcBorders/>
            <w:vAlign w:val="center"/>
          </w:tcPr>
          <w:p>
            <w:pPr>
              <w:pStyle w:val="TableContents"/>
              <w:bidi w:val="0"/>
              <w:spacing w:before="0" w:after="283"/>
              <w:jc w:val="both"/>
              <w:rPr/>
            </w:pPr>
            <w:r>
              <w:rPr/>
              <w:t>That for purposes of determining any liability under the Securities Act of 1933, each filing of the registrant’s annual report pursuant to section 13(a) or section 15(d) of the Securities Exchange Act of 1934 (and, where applicable, each filing of an employee benefit plan’s annual report pursuant to section 15(d) of the Securities Exchange Act of 1934) that is incorporated by reference in the registration statement shall be deemed to be a new registration statement relating to the securities offered therein, and the offering of such securities at that time shall be deemed to be the initial bona fide offering thereof.</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21"/>
        <w:gridCol w:w="9946"/>
      </w:tblGrid>
      <w:tr>
        <w:trPr/>
        <w:tc>
          <w:tcPr>
            <w:tcW w:w="38"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pPr>
            <w:r>
              <w:rPr/>
              <w:t>(8)</w:t>
            </w:r>
          </w:p>
        </w:tc>
        <w:tc>
          <w:tcPr>
            <w:tcW w:w="9946" w:type="dxa"/>
            <w:tcBorders/>
            <w:vAlign w:val="center"/>
          </w:tcPr>
          <w:p>
            <w:pPr>
              <w:pStyle w:val="TableContents"/>
              <w:bidi w:val="0"/>
              <w:spacing w:before="0" w:after="283"/>
              <w:jc w:val="both"/>
              <w:rPr/>
            </w:pPr>
            <w:r>
              <w:rPr/>
              <w:t>Insofar as indemnification for liabilities arising under the Securities Act of 1933 may be permitted to directors, officers and controlling persons of the registrant pursuant to the foregoing provisions, or otherwise, the registrant has been advised that in the opinion of the Securities and Exchange Commission such indemnification is against public policy as expressed in the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Act and will be governed by the final adjudication of such issue.</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II-7</w:t>
      </w:r>
    </w:p>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14" w:name="a_013"/>
      <w:bookmarkEnd w:id="14"/>
      <w:r>
        <w:rPr>
          <w:rFonts w:ascii="Times New Roman;Times;Serif" w:hAnsi="Times New Roman;Times;Serif"/>
          <w:b/>
          <w:i w:val="false"/>
          <w:caps w:val="false"/>
          <w:smallCaps w:val="false"/>
          <w:sz w:val="20"/>
        </w:rPr>
        <w:t>SIGNATURES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Act of 1933, Niki BioSolutions, Inc. certifies that it has reasonable grounds to believe that it meets all of the requirements for filing on Form S-3 and has duly caused this registration statement to be signed on its behalf by the undersigned, thereunto duly authorized, in Princeton, New Jersey on August 27, 2026.</w:t>
      </w:r>
    </w:p>
    <w:p>
      <w:pPr>
        <w:pStyle w:val="TextBody"/>
        <w:bidi w:val="0"/>
        <w:spacing w:before="0" w:after="0"/>
        <w:ind w:left="0" w:right="0" w:hanging="0"/>
        <w:jc w:val="center"/>
        <w:rPr>
          <w:caps w:val="false"/>
          <w:smallCaps w:val="false"/>
        </w:rPr>
      </w:pPr>
      <w:r>
        <w:rPr>
          <w:caps w:val="false"/>
          <w:smallCaps w:val="false"/>
        </w:rPr>
        <w:t> </w:t>
      </w:r>
    </w:p>
    <w:tbl>
      <w:tblPr>
        <w:tblW w:w="2389" w:type="dxa"/>
        <w:jc w:val="left"/>
        <w:tblInd w:w="0" w:type="dxa"/>
        <w:tblLayout w:type="fixed"/>
        <w:tblCellMar>
          <w:top w:w="0" w:type="dxa"/>
          <w:left w:w="0" w:type="dxa"/>
          <w:bottom w:w="0" w:type="dxa"/>
          <w:right w:w="0" w:type="dxa"/>
        </w:tblCellMar>
      </w:tblPr>
      <w:tblGrid>
        <w:gridCol w:w="75"/>
        <w:gridCol w:w="325"/>
        <w:gridCol w:w="1989"/>
      </w:tblGrid>
      <w:tr>
        <w:trPr/>
        <w:tc>
          <w:tcPr>
            <w:tcW w:w="75" w:type="dxa"/>
            <w:tcBorders/>
            <w:vAlign w:val="center"/>
          </w:tcPr>
          <w:p>
            <w:pPr>
              <w:pStyle w:val="TableContents"/>
              <w:bidi w:val="0"/>
              <w:spacing w:before="0" w:after="283"/>
              <w:jc w:val="left"/>
              <w:rPr/>
            </w:pPr>
            <w:r>
              <w:rPr/>
              <w:t> </w:t>
            </w:r>
          </w:p>
        </w:tc>
        <w:tc>
          <w:tcPr>
            <w:tcW w:w="2314" w:type="dxa"/>
            <w:gridSpan w:val="2"/>
            <w:tcBorders/>
            <w:vAlign w:val="center"/>
          </w:tcPr>
          <w:p>
            <w:pPr>
              <w:pStyle w:val="TableContents"/>
              <w:bidi w:val="0"/>
              <w:spacing w:before="0" w:after="283"/>
              <w:jc w:val="left"/>
              <w:rPr>
                <w:sz w:val="20"/>
              </w:rPr>
            </w:pPr>
            <w:r>
              <w:rPr>
                <w:sz w:val="20"/>
              </w:rPr>
              <w:t>NIKI BIOSOLUTIONS, INC.</w:t>
            </w:r>
          </w:p>
        </w:tc>
      </w:tr>
      <w:tr>
        <w:trPr/>
        <w:tc>
          <w:tcPr>
            <w:tcW w:w="75" w:type="dxa"/>
            <w:tcBorders/>
            <w:vAlign w:val="center"/>
          </w:tcPr>
          <w:p>
            <w:pPr>
              <w:pStyle w:val="TableContents"/>
              <w:bidi w:val="0"/>
              <w:spacing w:before="0" w:after="283"/>
              <w:jc w:val="left"/>
              <w:rPr/>
            </w:pPr>
            <w:r>
              <w:rPr/>
              <w:t> </w:t>
            </w:r>
          </w:p>
        </w:tc>
        <w:tc>
          <w:tcPr>
            <w:tcW w:w="325" w:type="dxa"/>
            <w:tcBorders/>
            <w:vAlign w:val="center"/>
          </w:tcPr>
          <w:p>
            <w:pPr>
              <w:pStyle w:val="TableContents"/>
              <w:bidi w:val="0"/>
              <w:spacing w:before="0" w:after="283"/>
              <w:jc w:val="left"/>
              <w:rPr/>
            </w:pPr>
            <w:r>
              <w:rPr/>
              <w:t> </w:t>
            </w:r>
          </w:p>
        </w:tc>
        <w:tc>
          <w:tcPr>
            <w:tcW w:w="1989"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325" w:type="dxa"/>
            <w:tcBorders/>
            <w:vAlign w:val="center"/>
          </w:tcPr>
          <w:p>
            <w:pPr>
              <w:pStyle w:val="TableContents"/>
              <w:bidi w:val="0"/>
              <w:spacing w:before="0" w:after="283"/>
              <w:jc w:val="left"/>
              <w:rPr>
                <w:sz w:val="20"/>
              </w:rPr>
            </w:pPr>
            <w:r>
              <w:rPr>
                <w:sz w:val="20"/>
              </w:rPr>
              <w:t>By:</w:t>
            </w:r>
          </w:p>
        </w:tc>
        <w:tc>
          <w:tcPr>
            <w:tcW w:w="1989" w:type="dxa"/>
            <w:tcBorders>
              <w:bottom w:val="single" w:sz="12" w:space="0" w:color="000000"/>
            </w:tcBorders>
            <w:tcMar>
              <w:bottom w:w="28" w:type="dxa"/>
            </w:tcMar>
            <w:vAlign w:val="center"/>
          </w:tcPr>
          <w:p>
            <w:pPr>
              <w:pStyle w:val="TableContents"/>
              <w:bidi w:val="0"/>
              <w:spacing w:before="0" w:after="283"/>
              <w:jc w:val="left"/>
              <w:rPr>
                <w:i/>
                <w:sz w:val="20"/>
              </w:rPr>
            </w:pPr>
            <w:r>
              <w:rPr>
                <w:i/>
                <w:sz w:val="20"/>
              </w:rPr>
              <w:t>/s/ Ian Huen</w:t>
            </w:r>
          </w:p>
        </w:tc>
      </w:tr>
      <w:tr>
        <w:trPr/>
        <w:tc>
          <w:tcPr>
            <w:tcW w:w="75" w:type="dxa"/>
            <w:tcBorders/>
            <w:vAlign w:val="center"/>
          </w:tcPr>
          <w:p>
            <w:pPr>
              <w:pStyle w:val="TableContents"/>
              <w:bidi w:val="0"/>
              <w:spacing w:before="0" w:after="283"/>
              <w:jc w:val="left"/>
              <w:rPr/>
            </w:pPr>
            <w:r>
              <w:rPr/>
              <w:t> </w:t>
            </w:r>
          </w:p>
        </w:tc>
        <w:tc>
          <w:tcPr>
            <w:tcW w:w="325" w:type="dxa"/>
            <w:tcBorders/>
            <w:vAlign w:val="center"/>
          </w:tcPr>
          <w:p>
            <w:pPr>
              <w:pStyle w:val="TableContents"/>
              <w:bidi w:val="0"/>
              <w:spacing w:before="0" w:after="283"/>
              <w:jc w:val="left"/>
              <w:rPr/>
            </w:pPr>
            <w:r>
              <w:rPr/>
              <w:t> </w:t>
            </w:r>
          </w:p>
        </w:tc>
        <w:tc>
          <w:tcPr>
            <w:tcW w:w="1989" w:type="dxa"/>
            <w:tcBorders/>
            <w:vAlign w:val="center"/>
          </w:tcPr>
          <w:p>
            <w:pPr>
              <w:pStyle w:val="TableContents"/>
              <w:bidi w:val="0"/>
              <w:spacing w:before="0" w:after="283"/>
              <w:jc w:val="left"/>
              <w:rPr>
                <w:sz w:val="20"/>
              </w:rPr>
            </w:pPr>
            <w:r>
              <w:rPr>
                <w:sz w:val="20"/>
              </w:rPr>
              <w:t>Ian Huen</w:t>
            </w:r>
          </w:p>
        </w:tc>
      </w:tr>
      <w:tr>
        <w:trPr/>
        <w:tc>
          <w:tcPr>
            <w:tcW w:w="75" w:type="dxa"/>
            <w:tcBorders/>
            <w:vAlign w:val="center"/>
          </w:tcPr>
          <w:p>
            <w:pPr>
              <w:pStyle w:val="TableContents"/>
              <w:bidi w:val="0"/>
              <w:spacing w:before="0" w:after="283"/>
              <w:jc w:val="left"/>
              <w:rPr/>
            </w:pPr>
            <w:r>
              <w:rPr/>
              <w:t> </w:t>
            </w:r>
          </w:p>
        </w:tc>
        <w:tc>
          <w:tcPr>
            <w:tcW w:w="325" w:type="dxa"/>
            <w:tcBorders/>
            <w:vAlign w:val="center"/>
          </w:tcPr>
          <w:p>
            <w:pPr>
              <w:pStyle w:val="TableContents"/>
              <w:bidi w:val="0"/>
              <w:spacing w:before="0" w:after="283"/>
              <w:jc w:val="left"/>
              <w:rPr/>
            </w:pPr>
            <w:r>
              <w:rPr/>
              <w:t> </w:t>
            </w:r>
          </w:p>
        </w:tc>
        <w:tc>
          <w:tcPr>
            <w:tcW w:w="1989" w:type="dxa"/>
            <w:tcBorders/>
            <w:vAlign w:val="center"/>
          </w:tcPr>
          <w:p>
            <w:pPr>
              <w:pStyle w:val="TableContents"/>
              <w:bidi w:val="0"/>
              <w:spacing w:before="0" w:after="283"/>
              <w:jc w:val="left"/>
              <w:rPr>
                <w:sz w:val="20"/>
              </w:rPr>
            </w:pPr>
            <w:r>
              <w:rPr>
                <w:sz w:val="20"/>
              </w:rPr>
              <w:t>Chief Executive Officer</w:t>
            </w:r>
          </w:p>
        </w:tc>
      </w:tr>
    </w:tbl>
    <w:p>
      <w:pPr>
        <w:pStyle w:val="TextBody"/>
        <w:bidi w:val="0"/>
        <w:spacing w:before="0" w:after="0"/>
        <w:ind w:left="0" w:right="0" w:hanging="0"/>
        <w:jc w:val="center"/>
        <w:rPr>
          <w:caps w:val="false"/>
          <w:smallCaps w:val="false"/>
        </w:rPr>
      </w:pPr>
      <w:r>
        <w:rPr>
          <w:caps w:val="false"/>
          <w:smallCaps w:val="false"/>
        </w:rPr>
        <w:t> </w:t>
      </w:r>
    </w:p>
    <w:tbl>
      <w:tblPr>
        <w:tblW w:w="3745" w:type="dxa"/>
        <w:jc w:val="left"/>
        <w:tblInd w:w="0" w:type="dxa"/>
        <w:tblLayout w:type="fixed"/>
        <w:tblCellMar>
          <w:top w:w="0" w:type="dxa"/>
          <w:left w:w="0" w:type="dxa"/>
          <w:bottom w:w="0" w:type="dxa"/>
          <w:right w:w="0" w:type="dxa"/>
        </w:tblCellMar>
      </w:tblPr>
      <w:tblGrid>
        <w:gridCol w:w="75"/>
        <w:gridCol w:w="590"/>
        <w:gridCol w:w="3080"/>
      </w:tblGrid>
      <w:tr>
        <w:trPr/>
        <w:tc>
          <w:tcPr>
            <w:tcW w:w="75" w:type="dxa"/>
            <w:tcBorders/>
            <w:vAlign w:val="center"/>
          </w:tcPr>
          <w:p>
            <w:pPr>
              <w:pStyle w:val="TableContents"/>
              <w:bidi w:val="0"/>
              <w:spacing w:before="0" w:after="283"/>
              <w:jc w:val="left"/>
              <w:rPr/>
            </w:pPr>
            <w:r>
              <w:rPr/>
              <w:t> </w:t>
            </w:r>
          </w:p>
        </w:tc>
        <w:tc>
          <w:tcPr>
            <w:tcW w:w="3670" w:type="dxa"/>
            <w:gridSpan w:val="2"/>
            <w:tcBorders/>
            <w:vAlign w:val="center"/>
          </w:tcPr>
          <w:p>
            <w:pPr>
              <w:pStyle w:val="TableContents"/>
              <w:bidi w:val="0"/>
              <w:spacing w:before="0" w:after="283"/>
              <w:jc w:val="left"/>
              <w:rPr>
                <w:sz w:val="20"/>
              </w:rPr>
            </w:pPr>
            <w:r>
              <w:rPr>
                <w:sz w:val="20"/>
              </w:rPr>
              <w:t>NIKI BIOSOLUTIONS, INC.</w:t>
            </w:r>
          </w:p>
        </w:tc>
      </w:tr>
      <w:tr>
        <w:trPr/>
        <w:tc>
          <w:tcPr>
            <w:tcW w:w="75"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left"/>
              <w:rPr/>
            </w:pPr>
            <w:r>
              <w:rPr/>
              <w:t> </w:t>
            </w:r>
          </w:p>
        </w:tc>
        <w:tc>
          <w:tcPr>
            <w:tcW w:w="3080"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left"/>
              <w:rPr>
                <w:sz w:val="4"/>
                <w:szCs w:val="4"/>
              </w:rPr>
            </w:pPr>
            <w:r>
              <w:rPr>
                <w:sz w:val="4"/>
                <w:szCs w:val="4"/>
              </w:rPr>
            </w:r>
          </w:p>
        </w:tc>
        <w:tc>
          <w:tcPr>
            <w:tcW w:w="3080" w:type="dxa"/>
            <w:tcBorders>
              <w:bottom w:val="single" w:sz="12" w:space="0" w:color="000000"/>
            </w:tcBorders>
            <w:tcMar>
              <w:bottom w:w="28" w:type="dxa"/>
            </w:tcMar>
            <w:vAlign w:val="center"/>
          </w:tcPr>
          <w:p>
            <w:pPr>
              <w:pStyle w:val="TableContents"/>
              <w:bidi w:val="0"/>
              <w:spacing w:before="0" w:after="283"/>
              <w:jc w:val="left"/>
              <w:rPr>
                <w:i/>
                <w:sz w:val="20"/>
              </w:rPr>
            </w:pPr>
            <w:r>
              <w:rPr>
                <w:i/>
                <w:sz w:val="20"/>
              </w:rPr>
              <w:t>/s/ Ian Huen</w:t>
            </w:r>
          </w:p>
        </w:tc>
      </w:tr>
      <w:tr>
        <w:trPr/>
        <w:tc>
          <w:tcPr>
            <w:tcW w:w="75"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left"/>
              <w:rPr>
                <w:sz w:val="20"/>
              </w:rPr>
            </w:pPr>
            <w:r>
              <w:rPr>
                <w:sz w:val="20"/>
              </w:rPr>
              <w:t xml:space="preserve">Name: </w:t>
            </w:r>
          </w:p>
        </w:tc>
        <w:tc>
          <w:tcPr>
            <w:tcW w:w="3080" w:type="dxa"/>
            <w:tcBorders/>
            <w:vAlign w:val="center"/>
          </w:tcPr>
          <w:p>
            <w:pPr>
              <w:pStyle w:val="TableContents"/>
              <w:bidi w:val="0"/>
              <w:spacing w:before="0" w:after="283"/>
              <w:jc w:val="left"/>
              <w:rPr>
                <w:sz w:val="20"/>
              </w:rPr>
            </w:pPr>
            <w:r>
              <w:rPr>
                <w:sz w:val="20"/>
              </w:rPr>
              <w:t>Ian Huen</w:t>
            </w:r>
          </w:p>
        </w:tc>
      </w:tr>
      <w:tr>
        <w:trPr/>
        <w:tc>
          <w:tcPr>
            <w:tcW w:w="75"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left"/>
              <w:rPr>
                <w:sz w:val="20"/>
              </w:rPr>
            </w:pPr>
            <w:r>
              <w:rPr>
                <w:sz w:val="20"/>
              </w:rPr>
              <w:t>Title:</w:t>
            </w:r>
          </w:p>
        </w:tc>
        <w:tc>
          <w:tcPr>
            <w:tcW w:w="3080" w:type="dxa"/>
            <w:tcBorders/>
            <w:vAlign w:val="center"/>
          </w:tcPr>
          <w:p>
            <w:pPr>
              <w:pStyle w:val="TableContents"/>
              <w:bidi w:val="0"/>
              <w:spacing w:before="0" w:after="283"/>
              <w:jc w:val="left"/>
              <w:rPr/>
            </w:pPr>
            <w:r>
              <w:rPr/>
              <w:t>Acting Chief Financial Officer</w:t>
              <w:br/>
              <w:t xml:space="preserve">(Principal Financial Officer and </w:t>
              <w:br/>
              <w:t>Principal Accounting Officer)</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Act of 1933, this Registration Statement has been signed by the following persons in the capacities and on the dates indicated.</w:t>
      </w:r>
    </w:p>
    <w:p>
      <w:pPr>
        <w:pStyle w:val="TextBody"/>
        <w:bidi w:val="0"/>
        <w:spacing w:before="0" w:after="0"/>
        <w:ind w:left="0" w:right="0" w:hanging="0"/>
        <w:jc w:val="center"/>
        <w:rPr>
          <w:caps w:val="false"/>
          <w:smallCaps w:val="false"/>
        </w:rPr>
      </w:pPr>
      <w:r>
        <w:rPr>
          <w:caps w:val="false"/>
          <w:smallCaps w:val="false"/>
        </w:rPr>
        <w:t> </w:t>
      </w:r>
    </w:p>
    <w:tbl>
      <w:tblPr>
        <w:tblW w:w="8580" w:type="dxa"/>
        <w:jc w:val="left"/>
        <w:tblInd w:w="0" w:type="dxa"/>
        <w:tblLayout w:type="fixed"/>
        <w:tblCellMar>
          <w:top w:w="0" w:type="dxa"/>
          <w:left w:w="0" w:type="dxa"/>
          <w:bottom w:w="28" w:type="dxa"/>
          <w:right w:w="0" w:type="dxa"/>
        </w:tblCellMar>
      </w:tblPr>
      <w:tblGrid>
        <w:gridCol w:w="1670"/>
        <w:gridCol w:w="60"/>
        <w:gridCol w:w="5165"/>
        <w:gridCol w:w="60"/>
        <w:gridCol w:w="1625"/>
      </w:tblGrid>
      <w:tr>
        <w:trPr/>
        <w:tc>
          <w:tcPr>
            <w:tcW w:w="1670" w:type="dxa"/>
            <w:tcBorders>
              <w:bottom w:val="single" w:sz="12" w:space="0" w:color="000000"/>
            </w:tcBorders>
            <w:vAlign w:val="center"/>
          </w:tcPr>
          <w:p>
            <w:pPr>
              <w:pStyle w:val="TableContents"/>
              <w:bidi w:val="0"/>
              <w:spacing w:before="0" w:after="283"/>
              <w:jc w:val="left"/>
              <w:rPr>
                <w:i/>
                <w:sz w:val="20"/>
              </w:rPr>
            </w:pPr>
            <w:r>
              <w:rPr>
                <w:i/>
                <w:sz w:val="20"/>
              </w:rPr>
              <w:t>/s/ Ian Huen</w:t>
            </w:r>
          </w:p>
        </w:tc>
        <w:tc>
          <w:tcPr>
            <w:tcW w:w="60" w:type="dxa"/>
            <w:tcBorders/>
            <w:tcMar>
              <w:bottom w:w="0" w:type="dxa"/>
            </w:tcMar>
            <w:vAlign w:val="center"/>
          </w:tcPr>
          <w:p>
            <w:pPr>
              <w:pStyle w:val="TableContents"/>
              <w:bidi w:val="0"/>
              <w:spacing w:before="0" w:after="283"/>
              <w:jc w:val="left"/>
              <w:rPr/>
            </w:pPr>
            <w:r>
              <w:rPr/>
              <w:t> </w:t>
            </w:r>
          </w:p>
        </w:tc>
        <w:tc>
          <w:tcPr>
            <w:tcW w:w="5165" w:type="dxa"/>
            <w:tcBorders/>
            <w:tcMar>
              <w:bottom w:w="0" w:type="dxa"/>
            </w:tcMar>
            <w:vAlign w:val="center"/>
          </w:tcPr>
          <w:p>
            <w:pPr>
              <w:pStyle w:val="TableContents"/>
              <w:bidi w:val="0"/>
              <w:spacing w:before="0" w:after="283"/>
              <w:jc w:val="left"/>
              <w:rPr>
                <w:sz w:val="20"/>
              </w:rPr>
            </w:pPr>
            <w:r>
              <w:rPr>
                <w:sz w:val="20"/>
              </w:rPr>
              <w:t>Chief Executive Officer and Chairman of the Board of Directors</w:t>
            </w:r>
          </w:p>
        </w:tc>
        <w:tc>
          <w:tcPr>
            <w:tcW w:w="60" w:type="dxa"/>
            <w:tcBorders/>
            <w:tcMar>
              <w:bottom w:w="0" w:type="dxa"/>
            </w:tcMar>
            <w:vAlign w:val="center"/>
          </w:tcPr>
          <w:p>
            <w:pPr>
              <w:pStyle w:val="TableContents"/>
              <w:bidi w:val="0"/>
              <w:spacing w:before="0" w:after="283"/>
              <w:jc w:val="left"/>
              <w:rPr/>
            </w:pPr>
            <w:r>
              <w:rPr/>
              <w:t> </w:t>
            </w:r>
          </w:p>
        </w:tc>
        <w:tc>
          <w:tcPr>
            <w:tcW w:w="1625" w:type="dxa"/>
            <w:tcBorders/>
            <w:tcMar>
              <w:bottom w:w="0" w:type="dxa"/>
            </w:tcMar>
            <w:vAlign w:val="center"/>
          </w:tcPr>
          <w:p>
            <w:pPr>
              <w:pStyle w:val="TableContents"/>
              <w:bidi w:val="0"/>
              <w:spacing w:before="0" w:after="283"/>
              <w:jc w:val="center"/>
              <w:rPr/>
            </w:pPr>
            <w:r>
              <w:rPr/>
              <w:t>August 27, 2026</w:t>
            </w:r>
          </w:p>
        </w:tc>
      </w:tr>
      <w:tr>
        <w:trPr/>
        <w:tc>
          <w:tcPr>
            <w:tcW w:w="1670" w:type="dxa"/>
            <w:tcBorders/>
            <w:tcMar>
              <w:bottom w:w="0" w:type="dxa"/>
            </w:tcMar>
            <w:vAlign w:val="center"/>
          </w:tcPr>
          <w:p>
            <w:pPr>
              <w:pStyle w:val="TableContents"/>
              <w:bidi w:val="0"/>
              <w:spacing w:before="0" w:after="283"/>
              <w:jc w:val="left"/>
              <w:rPr>
                <w:sz w:val="20"/>
              </w:rPr>
            </w:pPr>
            <w:r>
              <w:rPr>
                <w:sz w:val="20"/>
              </w:rPr>
              <w:t>Ian Huen</w:t>
            </w:r>
          </w:p>
        </w:tc>
        <w:tc>
          <w:tcPr>
            <w:tcW w:w="60" w:type="dxa"/>
            <w:tcBorders/>
            <w:tcMar>
              <w:bottom w:w="0" w:type="dxa"/>
            </w:tcMar>
            <w:vAlign w:val="center"/>
          </w:tcPr>
          <w:p>
            <w:pPr>
              <w:pStyle w:val="TableContents"/>
              <w:bidi w:val="0"/>
              <w:spacing w:before="0" w:after="283"/>
              <w:jc w:val="left"/>
              <w:rPr/>
            </w:pPr>
            <w:r>
              <w:rPr/>
              <w:t> </w:t>
            </w:r>
          </w:p>
        </w:tc>
        <w:tc>
          <w:tcPr>
            <w:tcW w:w="516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625" w:type="dxa"/>
            <w:tcBorders/>
            <w:tcMar>
              <w:bottom w:w="0" w:type="dxa"/>
            </w:tcMar>
            <w:vAlign w:val="center"/>
          </w:tcPr>
          <w:p>
            <w:pPr>
              <w:pStyle w:val="TableContents"/>
              <w:bidi w:val="0"/>
              <w:spacing w:before="0" w:after="283"/>
              <w:jc w:val="center"/>
              <w:rPr/>
            </w:pPr>
            <w:r>
              <w:rPr/>
              <w:t> </w:t>
            </w:r>
          </w:p>
        </w:tc>
      </w:tr>
      <w:tr>
        <w:trPr/>
        <w:tc>
          <w:tcPr>
            <w:tcW w:w="167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516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625" w:type="dxa"/>
            <w:tcBorders/>
            <w:tcMar>
              <w:bottom w:w="0" w:type="dxa"/>
            </w:tcMar>
            <w:vAlign w:val="center"/>
          </w:tcPr>
          <w:p>
            <w:pPr>
              <w:pStyle w:val="TableContents"/>
              <w:bidi w:val="0"/>
              <w:spacing w:before="0" w:after="283"/>
              <w:jc w:val="center"/>
              <w:rPr/>
            </w:pPr>
            <w:r>
              <w:rPr/>
              <w:t> </w:t>
            </w:r>
          </w:p>
        </w:tc>
      </w:tr>
      <w:tr>
        <w:trPr/>
        <w:tc>
          <w:tcPr>
            <w:tcW w:w="1670" w:type="dxa"/>
            <w:tcBorders>
              <w:bottom w:val="single" w:sz="12" w:space="0" w:color="000000"/>
            </w:tcBorders>
            <w:vAlign w:val="center"/>
          </w:tcPr>
          <w:p>
            <w:pPr>
              <w:pStyle w:val="TableContents"/>
              <w:bidi w:val="0"/>
              <w:spacing w:before="0" w:after="283"/>
              <w:jc w:val="left"/>
              <w:rPr>
                <w:i/>
                <w:sz w:val="20"/>
              </w:rPr>
            </w:pPr>
            <w:r>
              <w:rPr>
                <w:i/>
                <w:sz w:val="20"/>
              </w:rPr>
              <w:t>/s/ Ian Huen</w:t>
            </w:r>
          </w:p>
        </w:tc>
        <w:tc>
          <w:tcPr>
            <w:tcW w:w="60" w:type="dxa"/>
            <w:tcBorders/>
            <w:tcMar>
              <w:bottom w:w="0" w:type="dxa"/>
            </w:tcMar>
            <w:vAlign w:val="center"/>
          </w:tcPr>
          <w:p>
            <w:pPr>
              <w:pStyle w:val="TableContents"/>
              <w:bidi w:val="0"/>
              <w:spacing w:before="0" w:after="283"/>
              <w:jc w:val="left"/>
              <w:rPr/>
            </w:pPr>
            <w:r>
              <w:rPr/>
              <w:t> </w:t>
            </w:r>
          </w:p>
        </w:tc>
        <w:tc>
          <w:tcPr>
            <w:tcW w:w="5165" w:type="dxa"/>
            <w:tcBorders/>
            <w:tcMar>
              <w:bottom w:w="0" w:type="dxa"/>
            </w:tcMar>
            <w:vAlign w:val="center"/>
          </w:tcPr>
          <w:p>
            <w:pPr>
              <w:pStyle w:val="TableContents"/>
              <w:bidi w:val="0"/>
              <w:spacing w:before="0" w:after="283"/>
              <w:jc w:val="left"/>
              <w:rPr>
                <w:sz w:val="20"/>
              </w:rPr>
            </w:pPr>
            <w:r>
              <w:rPr>
                <w:sz w:val="20"/>
              </w:rPr>
              <w:t>Acting Chief Financial Officer</w:t>
            </w:r>
          </w:p>
        </w:tc>
        <w:tc>
          <w:tcPr>
            <w:tcW w:w="60" w:type="dxa"/>
            <w:tcBorders/>
            <w:tcMar>
              <w:bottom w:w="0" w:type="dxa"/>
            </w:tcMar>
            <w:vAlign w:val="center"/>
          </w:tcPr>
          <w:p>
            <w:pPr>
              <w:pStyle w:val="TableContents"/>
              <w:bidi w:val="0"/>
              <w:spacing w:before="0" w:after="283"/>
              <w:jc w:val="left"/>
              <w:rPr/>
            </w:pPr>
            <w:r>
              <w:rPr/>
              <w:t> </w:t>
            </w:r>
          </w:p>
        </w:tc>
        <w:tc>
          <w:tcPr>
            <w:tcW w:w="1625" w:type="dxa"/>
            <w:tcBorders/>
            <w:tcMar>
              <w:bottom w:w="0" w:type="dxa"/>
            </w:tcMar>
            <w:vAlign w:val="center"/>
          </w:tcPr>
          <w:p>
            <w:pPr>
              <w:pStyle w:val="TableContents"/>
              <w:bidi w:val="0"/>
              <w:spacing w:before="0" w:after="283"/>
              <w:jc w:val="center"/>
              <w:rPr>
                <w:sz w:val="20"/>
              </w:rPr>
            </w:pPr>
            <w:r>
              <w:rPr>
                <w:sz w:val="20"/>
              </w:rPr>
              <w:t>August 27, 2026</w:t>
            </w:r>
          </w:p>
        </w:tc>
      </w:tr>
      <w:tr>
        <w:trPr/>
        <w:tc>
          <w:tcPr>
            <w:tcW w:w="1670" w:type="dxa"/>
            <w:tcBorders/>
            <w:tcMar>
              <w:bottom w:w="0" w:type="dxa"/>
            </w:tcMar>
            <w:vAlign w:val="center"/>
          </w:tcPr>
          <w:p>
            <w:pPr>
              <w:pStyle w:val="TableContents"/>
              <w:bidi w:val="0"/>
              <w:spacing w:before="0" w:after="283"/>
              <w:jc w:val="left"/>
              <w:rPr>
                <w:sz w:val="20"/>
              </w:rPr>
            </w:pPr>
            <w:r>
              <w:rPr>
                <w:sz w:val="20"/>
              </w:rPr>
              <w:t>Ian Huen</w:t>
            </w:r>
          </w:p>
        </w:tc>
        <w:tc>
          <w:tcPr>
            <w:tcW w:w="60" w:type="dxa"/>
            <w:tcBorders/>
            <w:tcMar>
              <w:bottom w:w="0" w:type="dxa"/>
            </w:tcMar>
            <w:vAlign w:val="center"/>
          </w:tcPr>
          <w:p>
            <w:pPr>
              <w:pStyle w:val="TableContents"/>
              <w:bidi w:val="0"/>
              <w:spacing w:before="0" w:after="283"/>
              <w:jc w:val="left"/>
              <w:rPr/>
            </w:pPr>
            <w:r>
              <w:rPr/>
              <w:t> </w:t>
            </w:r>
          </w:p>
        </w:tc>
        <w:tc>
          <w:tcPr>
            <w:tcW w:w="516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625" w:type="dxa"/>
            <w:tcBorders/>
            <w:tcMar>
              <w:bottom w:w="0" w:type="dxa"/>
            </w:tcMar>
            <w:vAlign w:val="center"/>
          </w:tcPr>
          <w:p>
            <w:pPr>
              <w:pStyle w:val="TableContents"/>
              <w:bidi w:val="0"/>
              <w:spacing w:before="0" w:after="283"/>
              <w:jc w:val="center"/>
              <w:rPr/>
            </w:pPr>
            <w:r>
              <w:rPr/>
              <w:t> </w:t>
            </w:r>
          </w:p>
        </w:tc>
      </w:tr>
      <w:tr>
        <w:trPr/>
        <w:tc>
          <w:tcPr>
            <w:tcW w:w="167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516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625" w:type="dxa"/>
            <w:tcBorders/>
            <w:tcMar>
              <w:bottom w:w="0" w:type="dxa"/>
            </w:tcMar>
            <w:vAlign w:val="center"/>
          </w:tcPr>
          <w:p>
            <w:pPr>
              <w:pStyle w:val="TableContents"/>
              <w:bidi w:val="0"/>
              <w:spacing w:before="0" w:after="283"/>
              <w:jc w:val="center"/>
              <w:rPr/>
            </w:pPr>
            <w:r>
              <w:rPr/>
              <w:t> </w:t>
            </w:r>
          </w:p>
        </w:tc>
      </w:tr>
      <w:tr>
        <w:trPr/>
        <w:tc>
          <w:tcPr>
            <w:tcW w:w="1670" w:type="dxa"/>
            <w:tcBorders>
              <w:bottom w:val="single" w:sz="12" w:space="0" w:color="000000"/>
            </w:tcBorders>
            <w:vAlign w:val="center"/>
          </w:tcPr>
          <w:p>
            <w:pPr>
              <w:pStyle w:val="TableContents"/>
              <w:bidi w:val="0"/>
              <w:spacing w:before="0" w:after="283"/>
              <w:jc w:val="left"/>
              <w:rPr>
                <w:i/>
                <w:sz w:val="20"/>
              </w:rPr>
            </w:pPr>
            <w:r>
              <w:rPr>
                <w:i/>
                <w:sz w:val="20"/>
              </w:rPr>
              <w:t>/s/ Kira Sheinerman</w:t>
            </w:r>
          </w:p>
        </w:tc>
        <w:tc>
          <w:tcPr>
            <w:tcW w:w="60" w:type="dxa"/>
            <w:tcBorders/>
            <w:tcMar>
              <w:bottom w:w="0" w:type="dxa"/>
            </w:tcMar>
            <w:vAlign w:val="center"/>
          </w:tcPr>
          <w:p>
            <w:pPr>
              <w:pStyle w:val="TableContents"/>
              <w:bidi w:val="0"/>
              <w:spacing w:before="0" w:after="283"/>
              <w:jc w:val="left"/>
              <w:rPr/>
            </w:pPr>
            <w:r>
              <w:rPr/>
              <w:t> </w:t>
            </w:r>
          </w:p>
        </w:tc>
        <w:tc>
          <w:tcPr>
            <w:tcW w:w="5165" w:type="dxa"/>
            <w:tcBorders/>
            <w:tcMar>
              <w:bottom w:w="0" w:type="dxa"/>
            </w:tcMar>
            <w:vAlign w:val="center"/>
          </w:tcPr>
          <w:p>
            <w:pPr>
              <w:pStyle w:val="TableContents"/>
              <w:bidi w:val="0"/>
              <w:spacing w:before="0" w:after="283"/>
              <w:jc w:val="left"/>
              <w:rPr>
                <w:sz w:val="20"/>
              </w:rPr>
            </w:pPr>
            <w:r>
              <w:rPr>
                <w:sz w:val="20"/>
              </w:rPr>
              <w:t>Director</w:t>
            </w:r>
          </w:p>
        </w:tc>
        <w:tc>
          <w:tcPr>
            <w:tcW w:w="60" w:type="dxa"/>
            <w:tcBorders/>
            <w:tcMar>
              <w:bottom w:w="0" w:type="dxa"/>
            </w:tcMar>
            <w:vAlign w:val="center"/>
          </w:tcPr>
          <w:p>
            <w:pPr>
              <w:pStyle w:val="TableContents"/>
              <w:bidi w:val="0"/>
              <w:spacing w:before="0" w:after="283"/>
              <w:jc w:val="left"/>
              <w:rPr/>
            </w:pPr>
            <w:r>
              <w:rPr/>
              <w:t> </w:t>
            </w:r>
          </w:p>
        </w:tc>
        <w:tc>
          <w:tcPr>
            <w:tcW w:w="1625" w:type="dxa"/>
            <w:tcBorders/>
            <w:tcMar>
              <w:bottom w:w="0" w:type="dxa"/>
            </w:tcMar>
            <w:vAlign w:val="center"/>
          </w:tcPr>
          <w:p>
            <w:pPr>
              <w:pStyle w:val="TableContents"/>
              <w:bidi w:val="0"/>
              <w:spacing w:before="0" w:after="283"/>
              <w:jc w:val="center"/>
              <w:rPr>
                <w:sz w:val="20"/>
              </w:rPr>
            </w:pPr>
            <w:r>
              <w:rPr>
                <w:sz w:val="20"/>
              </w:rPr>
              <w:t>August 27, 2026</w:t>
            </w:r>
          </w:p>
        </w:tc>
      </w:tr>
      <w:tr>
        <w:trPr/>
        <w:tc>
          <w:tcPr>
            <w:tcW w:w="1670" w:type="dxa"/>
            <w:tcBorders/>
            <w:tcMar>
              <w:bottom w:w="0" w:type="dxa"/>
            </w:tcMar>
            <w:vAlign w:val="center"/>
          </w:tcPr>
          <w:p>
            <w:pPr>
              <w:pStyle w:val="TableContents"/>
              <w:bidi w:val="0"/>
              <w:spacing w:before="0" w:after="283"/>
              <w:jc w:val="left"/>
              <w:rPr>
                <w:i/>
                <w:sz w:val="20"/>
              </w:rPr>
            </w:pPr>
            <w:r>
              <w:rPr>
                <w:i/>
                <w:sz w:val="20"/>
              </w:rPr>
              <w:t>Kira Sheinerman</w:t>
            </w:r>
          </w:p>
        </w:tc>
        <w:tc>
          <w:tcPr>
            <w:tcW w:w="60" w:type="dxa"/>
            <w:tcBorders/>
            <w:tcMar>
              <w:bottom w:w="0" w:type="dxa"/>
            </w:tcMar>
            <w:vAlign w:val="center"/>
          </w:tcPr>
          <w:p>
            <w:pPr>
              <w:pStyle w:val="TableContents"/>
              <w:bidi w:val="0"/>
              <w:spacing w:before="0" w:after="283"/>
              <w:jc w:val="left"/>
              <w:rPr/>
            </w:pPr>
            <w:r>
              <w:rPr/>
              <w:t> </w:t>
            </w:r>
          </w:p>
        </w:tc>
        <w:tc>
          <w:tcPr>
            <w:tcW w:w="516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625" w:type="dxa"/>
            <w:tcBorders/>
            <w:tcMar>
              <w:bottom w:w="0" w:type="dxa"/>
            </w:tcMar>
            <w:vAlign w:val="center"/>
          </w:tcPr>
          <w:p>
            <w:pPr>
              <w:pStyle w:val="TableContents"/>
              <w:bidi w:val="0"/>
              <w:spacing w:before="0" w:after="283"/>
              <w:jc w:val="center"/>
              <w:rPr/>
            </w:pPr>
            <w:r>
              <w:rPr/>
              <w:t> </w:t>
            </w:r>
          </w:p>
        </w:tc>
      </w:tr>
      <w:tr>
        <w:trPr/>
        <w:tc>
          <w:tcPr>
            <w:tcW w:w="167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516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625" w:type="dxa"/>
            <w:tcBorders/>
            <w:tcMar>
              <w:bottom w:w="0" w:type="dxa"/>
            </w:tcMar>
            <w:vAlign w:val="center"/>
          </w:tcPr>
          <w:p>
            <w:pPr>
              <w:pStyle w:val="TableContents"/>
              <w:bidi w:val="0"/>
              <w:spacing w:before="0" w:after="283"/>
              <w:jc w:val="center"/>
              <w:rPr/>
            </w:pPr>
            <w:r>
              <w:rPr/>
              <w:t> </w:t>
            </w:r>
          </w:p>
        </w:tc>
      </w:tr>
      <w:tr>
        <w:trPr/>
        <w:tc>
          <w:tcPr>
            <w:tcW w:w="1670" w:type="dxa"/>
            <w:tcBorders>
              <w:bottom w:val="single" w:sz="12" w:space="0" w:color="000000"/>
            </w:tcBorders>
            <w:vAlign w:val="center"/>
          </w:tcPr>
          <w:p>
            <w:pPr>
              <w:pStyle w:val="TableContents"/>
              <w:bidi w:val="0"/>
              <w:spacing w:before="0" w:after="283"/>
              <w:jc w:val="left"/>
              <w:rPr>
                <w:i/>
                <w:sz w:val="20"/>
              </w:rPr>
            </w:pPr>
            <w:r>
              <w:rPr>
                <w:i/>
                <w:sz w:val="20"/>
              </w:rPr>
              <w:t>/s/ Justin Wu</w:t>
            </w:r>
          </w:p>
        </w:tc>
        <w:tc>
          <w:tcPr>
            <w:tcW w:w="60" w:type="dxa"/>
            <w:tcBorders/>
            <w:tcMar>
              <w:bottom w:w="0" w:type="dxa"/>
            </w:tcMar>
            <w:vAlign w:val="center"/>
          </w:tcPr>
          <w:p>
            <w:pPr>
              <w:pStyle w:val="TableContents"/>
              <w:bidi w:val="0"/>
              <w:spacing w:before="0" w:after="283"/>
              <w:jc w:val="left"/>
              <w:rPr/>
            </w:pPr>
            <w:r>
              <w:rPr/>
              <w:t> </w:t>
            </w:r>
          </w:p>
        </w:tc>
        <w:tc>
          <w:tcPr>
            <w:tcW w:w="5165" w:type="dxa"/>
            <w:tcBorders/>
            <w:tcMar>
              <w:bottom w:w="0" w:type="dxa"/>
            </w:tcMar>
            <w:vAlign w:val="center"/>
          </w:tcPr>
          <w:p>
            <w:pPr>
              <w:pStyle w:val="TableContents"/>
              <w:bidi w:val="0"/>
              <w:spacing w:before="0" w:after="283"/>
              <w:jc w:val="left"/>
              <w:rPr>
                <w:sz w:val="20"/>
              </w:rPr>
            </w:pPr>
            <w:r>
              <w:rPr>
                <w:sz w:val="20"/>
              </w:rPr>
              <w:t>Director</w:t>
            </w:r>
          </w:p>
        </w:tc>
        <w:tc>
          <w:tcPr>
            <w:tcW w:w="60" w:type="dxa"/>
            <w:tcBorders/>
            <w:tcMar>
              <w:bottom w:w="0" w:type="dxa"/>
            </w:tcMar>
            <w:vAlign w:val="center"/>
          </w:tcPr>
          <w:p>
            <w:pPr>
              <w:pStyle w:val="TableContents"/>
              <w:bidi w:val="0"/>
              <w:spacing w:before="0" w:after="283"/>
              <w:jc w:val="left"/>
              <w:rPr/>
            </w:pPr>
            <w:r>
              <w:rPr/>
              <w:t> </w:t>
            </w:r>
          </w:p>
        </w:tc>
        <w:tc>
          <w:tcPr>
            <w:tcW w:w="1625" w:type="dxa"/>
            <w:tcBorders/>
            <w:tcMar>
              <w:bottom w:w="0" w:type="dxa"/>
            </w:tcMar>
            <w:vAlign w:val="center"/>
          </w:tcPr>
          <w:p>
            <w:pPr>
              <w:pStyle w:val="TableContents"/>
              <w:bidi w:val="0"/>
              <w:spacing w:before="0" w:after="283"/>
              <w:jc w:val="center"/>
              <w:rPr>
                <w:sz w:val="20"/>
              </w:rPr>
            </w:pPr>
            <w:r>
              <w:rPr>
                <w:sz w:val="20"/>
              </w:rPr>
              <w:t>August 27, 2026</w:t>
            </w:r>
          </w:p>
        </w:tc>
      </w:tr>
      <w:tr>
        <w:trPr/>
        <w:tc>
          <w:tcPr>
            <w:tcW w:w="1670" w:type="dxa"/>
            <w:tcBorders/>
            <w:tcMar>
              <w:bottom w:w="0" w:type="dxa"/>
            </w:tcMar>
            <w:vAlign w:val="center"/>
          </w:tcPr>
          <w:p>
            <w:pPr>
              <w:pStyle w:val="TableContents"/>
              <w:bidi w:val="0"/>
              <w:spacing w:before="0" w:after="283"/>
              <w:jc w:val="left"/>
              <w:rPr>
                <w:sz w:val="20"/>
              </w:rPr>
            </w:pPr>
            <w:r>
              <w:rPr>
                <w:sz w:val="20"/>
              </w:rPr>
              <w:t>Justin Wu</w:t>
            </w:r>
          </w:p>
        </w:tc>
        <w:tc>
          <w:tcPr>
            <w:tcW w:w="60" w:type="dxa"/>
            <w:tcBorders/>
            <w:tcMar>
              <w:bottom w:w="0" w:type="dxa"/>
            </w:tcMar>
            <w:vAlign w:val="center"/>
          </w:tcPr>
          <w:p>
            <w:pPr>
              <w:pStyle w:val="TableContents"/>
              <w:bidi w:val="0"/>
              <w:spacing w:before="0" w:after="283"/>
              <w:jc w:val="left"/>
              <w:rPr/>
            </w:pPr>
            <w:r>
              <w:rPr/>
              <w:t> </w:t>
            </w:r>
          </w:p>
        </w:tc>
        <w:tc>
          <w:tcPr>
            <w:tcW w:w="516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625" w:type="dxa"/>
            <w:tcBorders/>
            <w:tcMar>
              <w:bottom w:w="0" w:type="dxa"/>
            </w:tcMar>
            <w:vAlign w:val="center"/>
          </w:tcPr>
          <w:p>
            <w:pPr>
              <w:pStyle w:val="TableContents"/>
              <w:bidi w:val="0"/>
              <w:spacing w:before="0" w:after="283"/>
              <w:jc w:val="center"/>
              <w:rPr/>
            </w:pPr>
            <w:r>
              <w:rPr/>
              <w:t> </w:t>
            </w:r>
          </w:p>
        </w:tc>
      </w:tr>
      <w:tr>
        <w:trPr/>
        <w:tc>
          <w:tcPr>
            <w:tcW w:w="167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516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625" w:type="dxa"/>
            <w:tcBorders/>
            <w:tcMar>
              <w:bottom w:w="0" w:type="dxa"/>
            </w:tcMar>
            <w:vAlign w:val="center"/>
          </w:tcPr>
          <w:p>
            <w:pPr>
              <w:pStyle w:val="TableContents"/>
              <w:bidi w:val="0"/>
              <w:spacing w:before="0" w:after="283"/>
              <w:jc w:val="center"/>
              <w:rPr/>
            </w:pPr>
            <w:r>
              <w:rPr/>
              <w:t> </w:t>
            </w:r>
          </w:p>
        </w:tc>
      </w:tr>
      <w:tr>
        <w:trPr/>
        <w:tc>
          <w:tcPr>
            <w:tcW w:w="1670" w:type="dxa"/>
            <w:tcBorders>
              <w:bottom w:val="single" w:sz="12" w:space="0" w:color="000000"/>
            </w:tcBorders>
            <w:vAlign w:val="center"/>
          </w:tcPr>
          <w:p>
            <w:pPr>
              <w:pStyle w:val="TableContents"/>
              <w:bidi w:val="0"/>
              <w:spacing w:before="0" w:after="283"/>
              <w:jc w:val="left"/>
              <w:rPr>
                <w:i/>
                <w:sz w:val="20"/>
              </w:rPr>
            </w:pPr>
            <w:r>
              <w:rPr>
                <w:i/>
                <w:sz w:val="20"/>
              </w:rPr>
              <w:t>/s/ Douglas Arner</w:t>
            </w:r>
          </w:p>
        </w:tc>
        <w:tc>
          <w:tcPr>
            <w:tcW w:w="60" w:type="dxa"/>
            <w:tcBorders/>
            <w:tcMar>
              <w:bottom w:w="0" w:type="dxa"/>
            </w:tcMar>
            <w:vAlign w:val="center"/>
          </w:tcPr>
          <w:p>
            <w:pPr>
              <w:pStyle w:val="TableContents"/>
              <w:bidi w:val="0"/>
              <w:spacing w:before="0" w:after="283"/>
              <w:jc w:val="left"/>
              <w:rPr/>
            </w:pPr>
            <w:r>
              <w:rPr/>
              <w:t> </w:t>
            </w:r>
          </w:p>
        </w:tc>
        <w:tc>
          <w:tcPr>
            <w:tcW w:w="5165" w:type="dxa"/>
            <w:tcBorders/>
            <w:tcMar>
              <w:bottom w:w="0" w:type="dxa"/>
            </w:tcMar>
            <w:vAlign w:val="center"/>
          </w:tcPr>
          <w:p>
            <w:pPr>
              <w:pStyle w:val="TableContents"/>
              <w:bidi w:val="0"/>
              <w:spacing w:before="0" w:after="283"/>
              <w:jc w:val="left"/>
              <w:rPr>
                <w:sz w:val="20"/>
              </w:rPr>
            </w:pPr>
            <w:r>
              <w:rPr>
                <w:sz w:val="20"/>
              </w:rPr>
              <w:t>Director</w:t>
            </w:r>
          </w:p>
        </w:tc>
        <w:tc>
          <w:tcPr>
            <w:tcW w:w="60" w:type="dxa"/>
            <w:tcBorders/>
            <w:tcMar>
              <w:bottom w:w="0" w:type="dxa"/>
            </w:tcMar>
            <w:vAlign w:val="center"/>
          </w:tcPr>
          <w:p>
            <w:pPr>
              <w:pStyle w:val="TableContents"/>
              <w:bidi w:val="0"/>
              <w:spacing w:before="0" w:after="283"/>
              <w:jc w:val="left"/>
              <w:rPr/>
            </w:pPr>
            <w:r>
              <w:rPr/>
              <w:t> </w:t>
            </w:r>
          </w:p>
        </w:tc>
        <w:tc>
          <w:tcPr>
            <w:tcW w:w="1625" w:type="dxa"/>
            <w:tcBorders/>
            <w:tcMar>
              <w:bottom w:w="0" w:type="dxa"/>
            </w:tcMar>
            <w:vAlign w:val="center"/>
          </w:tcPr>
          <w:p>
            <w:pPr>
              <w:pStyle w:val="TableContents"/>
              <w:bidi w:val="0"/>
              <w:spacing w:before="0" w:after="283"/>
              <w:jc w:val="center"/>
              <w:rPr>
                <w:sz w:val="20"/>
              </w:rPr>
            </w:pPr>
            <w:r>
              <w:rPr>
                <w:sz w:val="20"/>
              </w:rPr>
              <w:t>August 27, 2026</w:t>
            </w:r>
          </w:p>
        </w:tc>
      </w:tr>
      <w:tr>
        <w:trPr/>
        <w:tc>
          <w:tcPr>
            <w:tcW w:w="1670" w:type="dxa"/>
            <w:tcBorders/>
            <w:tcMar>
              <w:bottom w:w="0" w:type="dxa"/>
            </w:tcMar>
            <w:vAlign w:val="center"/>
          </w:tcPr>
          <w:p>
            <w:pPr>
              <w:pStyle w:val="TableContents"/>
              <w:bidi w:val="0"/>
              <w:spacing w:before="0" w:after="283"/>
              <w:jc w:val="left"/>
              <w:rPr>
                <w:sz w:val="20"/>
              </w:rPr>
            </w:pPr>
            <w:r>
              <w:rPr>
                <w:sz w:val="20"/>
              </w:rPr>
              <w:t>Douglas Arner</w:t>
            </w:r>
          </w:p>
        </w:tc>
        <w:tc>
          <w:tcPr>
            <w:tcW w:w="60" w:type="dxa"/>
            <w:tcBorders/>
            <w:tcMar>
              <w:bottom w:w="0" w:type="dxa"/>
            </w:tcMar>
            <w:vAlign w:val="center"/>
          </w:tcPr>
          <w:p>
            <w:pPr>
              <w:pStyle w:val="TableContents"/>
              <w:bidi w:val="0"/>
              <w:spacing w:before="0" w:after="283"/>
              <w:jc w:val="left"/>
              <w:rPr/>
            </w:pPr>
            <w:r>
              <w:rPr/>
              <w:t> </w:t>
            </w:r>
          </w:p>
        </w:tc>
        <w:tc>
          <w:tcPr>
            <w:tcW w:w="516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625" w:type="dxa"/>
            <w:tcBorders/>
            <w:tcMar>
              <w:bottom w:w="0" w:type="dxa"/>
            </w:tcMar>
            <w:vAlign w:val="center"/>
          </w:tcPr>
          <w:p>
            <w:pPr>
              <w:pStyle w:val="TableContents"/>
              <w:bidi w:val="0"/>
              <w:spacing w:before="0" w:after="283"/>
              <w:jc w:val="center"/>
              <w:rPr/>
            </w:pPr>
            <w:r>
              <w:rPr/>
              <w:t> </w:t>
            </w:r>
          </w:p>
        </w:tc>
      </w:tr>
      <w:tr>
        <w:trPr/>
        <w:tc>
          <w:tcPr>
            <w:tcW w:w="167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516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625" w:type="dxa"/>
            <w:tcBorders/>
            <w:tcMar>
              <w:bottom w:w="0" w:type="dxa"/>
            </w:tcMar>
            <w:vAlign w:val="center"/>
          </w:tcPr>
          <w:p>
            <w:pPr>
              <w:pStyle w:val="TableContents"/>
              <w:bidi w:val="0"/>
              <w:spacing w:before="0" w:after="283"/>
              <w:jc w:val="center"/>
              <w:rPr/>
            </w:pPr>
            <w:r>
              <w:rPr/>
              <w:t> </w:t>
            </w:r>
          </w:p>
        </w:tc>
      </w:tr>
      <w:tr>
        <w:trPr/>
        <w:tc>
          <w:tcPr>
            <w:tcW w:w="1670" w:type="dxa"/>
            <w:tcBorders>
              <w:bottom w:val="single" w:sz="12" w:space="0" w:color="000000"/>
            </w:tcBorders>
            <w:vAlign w:val="center"/>
          </w:tcPr>
          <w:p>
            <w:pPr>
              <w:pStyle w:val="TableContents"/>
              <w:bidi w:val="0"/>
              <w:spacing w:before="0" w:after="283"/>
              <w:jc w:val="left"/>
              <w:rPr>
                <w:i/>
                <w:sz w:val="20"/>
              </w:rPr>
            </w:pPr>
            <w:r>
              <w:rPr>
                <w:i/>
                <w:sz w:val="20"/>
              </w:rPr>
              <w:t>/s/ Laura A. Philips</w:t>
            </w:r>
          </w:p>
        </w:tc>
        <w:tc>
          <w:tcPr>
            <w:tcW w:w="60" w:type="dxa"/>
            <w:tcBorders/>
            <w:tcMar>
              <w:bottom w:w="0" w:type="dxa"/>
            </w:tcMar>
            <w:vAlign w:val="center"/>
          </w:tcPr>
          <w:p>
            <w:pPr>
              <w:pStyle w:val="TableContents"/>
              <w:bidi w:val="0"/>
              <w:spacing w:before="0" w:after="283"/>
              <w:jc w:val="left"/>
              <w:rPr/>
            </w:pPr>
            <w:r>
              <w:rPr/>
              <w:t> </w:t>
            </w:r>
          </w:p>
        </w:tc>
        <w:tc>
          <w:tcPr>
            <w:tcW w:w="5165" w:type="dxa"/>
            <w:tcBorders/>
            <w:tcMar>
              <w:bottom w:w="0" w:type="dxa"/>
            </w:tcMar>
            <w:vAlign w:val="center"/>
          </w:tcPr>
          <w:p>
            <w:pPr>
              <w:pStyle w:val="TableContents"/>
              <w:bidi w:val="0"/>
              <w:spacing w:before="0" w:after="283"/>
              <w:jc w:val="left"/>
              <w:rPr>
                <w:sz w:val="20"/>
              </w:rPr>
            </w:pPr>
            <w:r>
              <w:rPr>
                <w:sz w:val="20"/>
              </w:rPr>
              <w:t>Director</w:t>
            </w:r>
          </w:p>
        </w:tc>
        <w:tc>
          <w:tcPr>
            <w:tcW w:w="60" w:type="dxa"/>
            <w:tcBorders/>
            <w:tcMar>
              <w:bottom w:w="0" w:type="dxa"/>
            </w:tcMar>
            <w:vAlign w:val="center"/>
          </w:tcPr>
          <w:p>
            <w:pPr>
              <w:pStyle w:val="TableContents"/>
              <w:bidi w:val="0"/>
              <w:spacing w:before="0" w:after="283"/>
              <w:jc w:val="left"/>
              <w:rPr/>
            </w:pPr>
            <w:r>
              <w:rPr/>
              <w:t> </w:t>
            </w:r>
          </w:p>
        </w:tc>
        <w:tc>
          <w:tcPr>
            <w:tcW w:w="1625" w:type="dxa"/>
            <w:tcBorders/>
            <w:tcMar>
              <w:bottom w:w="0" w:type="dxa"/>
            </w:tcMar>
            <w:vAlign w:val="center"/>
          </w:tcPr>
          <w:p>
            <w:pPr>
              <w:pStyle w:val="TableContents"/>
              <w:bidi w:val="0"/>
              <w:spacing w:before="0" w:after="283"/>
              <w:jc w:val="center"/>
              <w:rPr>
                <w:sz w:val="20"/>
              </w:rPr>
            </w:pPr>
            <w:r>
              <w:rPr>
                <w:sz w:val="20"/>
              </w:rPr>
              <w:t>August 27, 2026</w:t>
            </w:r>
          </w:p>
        </w:tc>
      </w:tr>
      <w:tr>
        <w:trPr/>
        <w:tc>
          <w:tcPr>
            <w:tcW w:w="1670" w:type="dxa"/>
            <w:tcBorders/>
            <w:tcMar>
              <w:bottom w:w="0" w:type="dxa"/>
            </w:tcMar>
            <w:vAlign w:val="center"/>
          </w:tcPr>
          <w:p>
            <w:pPr>
              <w:pStyle w:val="TableContents"/>
              <w:bidi w:val="0"/>
              <w:spacing w:before="0" w:after="283"/>
              <w:jc w:val="left"/>
              <w:rPr>
                <w:sz w:val="20"/>
              </w:rPr>
            </w:pPr>
            <w:r>
              <w:rPr>
                <w:sz w:val="20"/>
              </w:rPr>
              <w:t>Laura A. Philips</w:t>
            </w:r>
          </w:p>
        </w:tc>
        <w:tc>
          <w:tcPr>
            <w:tcW w:w="60" w:type="dxa"/>
            <w:tcBorders/>
            <w:tcMar>
              <w:bottom w:w="0" w:type="dxa"/>
            </w:tcMar>
            <w:vAlign w:val="center"/>
          </w:tcPr>
          <w:p>
            <w:pPr>
              <w:pStyle w:val="TableContents"/>
              <w:bidi w:val="0"/>
              <w:spacing w:before="0" w:after="283"/>
              <w:jc w:val="left"/>
              <w:rPr/>
            </w:pPr>
            <w:r>
              <w:rPr/>
              <w:t> </w:t>
            </w:r>
          </w:p>
        </w:tc>
        <w:tc>
          <w:tcPr>
            <w:tcW w:w="516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625" w:type="dxa"/>
            <w:tcBorders/>
            <w:tcMar>
              <w:bottom w:w="0" w:type="dxa"/>
            </w:tcMar>
            <w:vAlign w:val="center"/>
          </w:tcPr>
          <w:p>
            <w:pPr>
              <w:pStyle w:val="TableContents"/>
              <w:bidi w:val="0"/>
              <w:spacing w:before="0" w:after="283"/>
              <w:jc w:val="center"/>
              <w:rPr/>
            </w:pPr>
            <w:r>
              <w:rPr/>
              <w:t> </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II-8</w:t>
      </w:r>
    </w:p>
    <w:p>
      <w:pPr>
        <w:pStyle w:val="TextBody"/>
        <w:bidi w:val="0"/>
        <w:spacing w:before="0" w:after="0"/>
        <w:ind w:left="0" w:right="0" w:hanging="0"/>
        <w:jc w:val="righ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jc w:val="right"/>
        <w:rPr>
          <w:rFonts w:ascii="Times New Roman;Times;Serif" w:hAnsi="Times New Roman;Times;Serif"/>
          <w:b/>
          <w:i w:val="false"/>
          <w:caps w:val="false"/>
          <w:smallCaps w:val="false"/>
          <w:sz w:val="20"/>
        </w:rPr>
      </w:pPr>
      <w:bookmarkStart w:id="15" w:name="ea030223901ex4-6.htm"/>
      <w:bookmarkStart w:id="16" w:name="ksea030223901ex46"/>
      <w:bookmarkEnd w:id="15"/>
      <w:bookmarkEnd w:id="16"/>
      <w:r>
        <w:rPr>
          <w:rFonts w:ascii="Times New Roman;Times;Serif" w:hAnsi="Times New Roman;Times;Serif"/>
          <w:b/>
          <w:i w:val="false"/>
          <w:caps w:val="false"/>
          <w:smallCaps w:val="false"/>
          <w:sz w:val="20"/>
        </w:rPr>
        <w:t>Exhibit 4.6</w:t>
      </w:r>
      <w:r>
        <w:br w:type="page"/>
      </w:r>
    </w:p>
    <w:p>
      <w:pPr>
        <w:pStyle w:val="TextBody"/>
        <w:bidi w:val="0"/>
        <w:jc w:val="center"/>
        <w:rPr>
          <w:caps w:val="false"/>
          <w:smallCaps w:val="false"/>
        </w:rPr>
      </w:pPr>
      <w:r>
        <w:rPr>
          <w:caps w:val="false"/>
          <w:smallCaps w:val="false"/>
        </w:rPr>
        <w:t> </w:t>
      </w:r>
    </w:p>
    <w:p>
      <w:pPr>
        <w:pStyle w:val="TextBody"/>
        <w:bidi w:val="0"/>
        <w:jc w:val="center"/>
        <w:rPr>
          <w:rFonts w:ascii="Times New Roman;Times;Serif" w:hAnsi="Times New Roman;Times;Serif"/>
          <w:b/>
          <w:i w:val="false"/>
          <w:caps/>
          <w:sz w:val="20"/>
        </w:rPr>
      </w:pPr>
      <w:r>
        <w:rPr>
          <w:rFonts w:ascii="Times New Roman;Times;Serif" w:hAnsi="Times New Roman;Times;Serif"/>
          <w:b/>
          <w:i w:val="false"/>
          <w:caps/>
          <w:sz w:val="20"/>
        </w:rPr>
        <w:t>Niki BioSOLUTIONS, INC.c</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Issuer</w:t>
      </w:r>
    </w:p>
    <w:p>
      <w:pPr>
        <w:pStyle w:val="TextBody"/>
        <w:bidi w:val="0"/>
        <w:jc w:val="center"/>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AND</w:t>
      </w:r>
    </w:p>
    <w:p>
      <w:pPr>
        <w:pStyle w:val="TextBody"/>
        <w:bidi w:val="0"/>
        <w:jc w:val="center"/>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[TRUSTEE]</w:t>
      </w:r>
    </w:p>
    <w:p>
      <w:pPr>
        <w:pStyle w:val="TextBody"/>
        <w:bidi w:val="0"/>
        <w:jc w:val="center"/>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Trustee</w:t>
      </w:r>
    </w:p>
    <w:p>
      <w:pPr>
        <w:pStyle w:val="TextBody"/>
        <w:bidi w:val="0"/>
        <w:jc w:val="center"/>
        <w:rPr>
          <w:caps w:val="false"/>
          <w:smallCaps w:val="false"/>
        </w:rPr>
      </w:pPr>
      <w:r>
        <w:rPr>
          <w:caps w:val="false"/>
          <w:smallCaps w:val="false"/>
        </w:rPr>
        <w:t> </w:t>
      </w:r>
    </w:p>
    <w:p>
      <w:pPr>
        <w:pStyle w:val="TextBody"/>
        <w:bidi w:val="0"/>
        <w:jc w:val="center"/>
        <w:rPr>
          <w:caps w:val="false"/>
          <w:smallCaps w:val="false"/>
        </w:rPr>
      </w:pPr>
      <w:r>
        <w:rPr>
          <w:caps w:val="false"/>
          <w:smallCaps w:val="false"/>
        </w:rPr>
        <w:t> </w:t>
      </w:r>
    </w:p>
    <w:p>
      <w:pPr>
        <w:pStyle w:val="TextBody"/>
        <w:bidi w:val="0"/>
        <w:jc w:val="center"/>
        <w:rPr>
          <w:caps w:val="false"/>
          <w:smallCaps w:val="false"/>
        </w:rPr>
      </w:pPr>
      <w:r>
        <w:rPr>
          <w:caps w:val="false"/>
          <w:smallCaps w:val="false"/>
        </w:rPr>
        <w:t> </w:t>
      </w:r>
    </w:p>
    <w:p>
      <w:pPr>
        <w:pStyle w:val="TextBody"/>
        <w:bidi w:val="0"/>
        <w:jc w:val="center"/>
        <w:rPr>
          <w:caps w:val="false"/>
          <w:smallCaps w:val="false"/>
        </w:rPr>
      </w:pPr>
      <w:r>
        <w:rPr>
          <w:caps w:val="false"/>
          <w:smallCaps w:val="false"/>
        </w:rPr>
        <w:t> </w:t>
      </w:r>
    </w:p>
    <w:p>
      <w:pPr>
        <w:pStyle w:val="TextBody"/>
        <w:bidi w:val="0"/>
        <w:jc w:val="center"/>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INDENTURE</w:t>
      </w:r>
    </w:p>
    <w:p>
      <w:pPr>
        <w:pStyle w:val="TextBody"/>
        <w:bidi w:val="0"/>
        <w:jc w:val="center"/>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Dated as of [●], 20[●]</w:t>
      </w:r>
    </w:p>
    <w:p>
      <w:pPr>
        <w:pStyle w:val="TextBody"/>
        <w:bidi w:val="0"/>
        <w:jc w:val="center"/>
        <w:rPr>
          <w:caps w:val="false"/>
          <w:smallCaps w:val="false"/>
        </w:rPr>
      </w:pPr>
      <w:r>
        <w:rPr>
          <w:caps w:val="false"/>
          <w:smallCaps w:val="false"/>
        </w:rPr>
        <w:t> </w:t>
      </w:r>
    </w:p>
    <w:p>
      <w:pPr>
        <w:pStyle w:val="TextBody"/>
        <w:bidi w:val="0"/>
        <w:jc w:val="center"/>
        <w:rPr>
          <w:caps w:val="false"/>
          <w:smallCaps w:val="false"/>
        </w:rPr>
      </w:pPr>
      <w:r>
        <w:rPr>
          <w:caps w:val="false"/>
          <w:smallCaps w:val="false"/>
        </w:rPr>
        <w:t> </w:t>
      </w:r>
    </w:p>
    <w:p>
      <w:pPr>
        <w:pStyle w:val="TextBody"/>
        <w:bidi w:val="0"/>
        <w:jc w:val="center"/>
        <w:rPr>
          <w:caps w:val="false"/>
          <w:smallCaps w:val="false"/>
        </w:rPr>
      </w:pPr>
      <w:r>
        <w:rPr>
          <w:caps w:val="false"/>
          <w:smallCaps w:val="false"/>
        </w:rPr>
        <w:t> </w:t>
      </w:r>
    </w:p>
    <w:p>
      <w:pPr>
        <w:pStyle w:val="TextBody"/>
        <w:bidi w:val="0"/>
        <w:jc w:val="center"/>
        <w:rPr>
          <w:caps w:val="false"/>
          <w:smallCaps w:val="false"/>
        </w:rPr>
      </w:pPr>
      <w:r>
        <w:rPr>
          <w:caps w:val="false"/>
          <w:smallCaps w:val="false"/>
        </w:rPr>
        <w:t> </w:t>
      </w:r>
    </w:p>
    <w:p>
      <w:pPr>
        <w:pStyle w:val="TextBody"/>
        <w:bidi w:val="0"/>
        <w:jc w:val="center"/>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Senior Debt Securities</w:t>
      </w:r>
    </w:p>
    <w:p>
      <w:pPr>
        <w:pStyle w:val="TextBody"/>
        <w:bidi w:val="0"/>
        <w:jc w:val="both"/>
        <w:rPr>
          <w:caps w:val="false"/>
          <w:smallCaps w:val="false"/>
        </w:rPr>
      </w:pPr>
      <w:r>
        <w:rPr>
          <w:caps w:val="false"/>
          <w:smallCaps w:val="false"/>
        </w:rPr>
        <w:t> </w:t>
      </w:r>
    </w:p>
    <w:p>
      <w:pPr>
        <w:pStyle w:val="TextBody"/>
        <w:bidi w:val="0"/>
        <w:jc w:val="both"/>
        <w:rPr>
          <w:caps w:val="false"/>
          <w:smallCaps w:val="false"/>
        </w:rPr>
      </w:pPr>
      <w:r>
        <w:rPr>
          <w:caps w:val="false"/>
          <w:smallCaps w:val="false"/>
        </w:rPr>
        <w:t> </w:t>
      </w:r>
    </w:p>
    <w:p>
      <w:pPr>
        <w:pStyle w:val="TextBody"/>
        <w:bidi w:val="0"/>
        <w:spacing w:before="0" w:after="0"/>
        <w:ind w:left="0" w:right="0" w:hanging="0"/>
        <w:jc w:val="left"/>
        <w:rPr>
          <w:bdr w:val="single" w:sz="12" w:space="1" w:color="000000"/>
        </w:rPr>
      </w:pPr>
      <w:r>
        <w:rPr>
          <w:bdr w:val="single" w:sz="12" w:space="1" w:color="000000"/>
        </w:rPr>
        <w:t> </w:t>
      </w:r>
    </w:p>
    <w:p>
      <w:pPr>
        <w:pStyle w:val="TextBody"/>
        <w:bidi w:val="0"/>
        <w:spacing w:before="0" w:after="0"/>
        <w:ind w:left="0" w:right="0" w:hanging="0"/>
        <w:jc w:val="left"/>
        <w:rPr/>
      </w:pPr>
      <w:r>
        <w:rPr/>
        <w:t> </w:t>
      </w:r>
    </w:p>
    <w:p>
      <w:pPr>
        <w:pStyle w:val="TextBody"/>
        <w:bidi w:val="0"/>
        <w:jc w:val="center"/>
        <w:rPr>
          <w:caps w:val="false"/>
          <w:smallCaps w:val="false"/>
        </w:rPr>
      </w:pPr>
      <w:r>
        <w:rPr>
          <w:caps w:val="false"/>
          <w:smallCaps w:val="false"/>
        </w:rPr>
        <w:t> </w:t>
      </w:r>
    </w:p>
    <w:p>
      <w:pPr>
        <w:pStyle w:val="TextBody"/>
        <w:bidi w:val="0"/>
        <w:jc w:val="center"/>
        <w:rPr>
          <w:rFonts w:ascii="Times New Roman;Times;Serif" w:hAnsi="Times New Roman;Times;Serif"/>
          <w:b w:val="false"/>
          <w:i w:val="false"/>
          <w:caps/>
          <w:sz w:val="20"/>
        </w:rPr>
      </w:pPr>
      <w:r>
        <w:rPr>
          <w:rFonts w:ascii="Times New Roman;Times;Serif" w:hAnsi="Times New Roman;Times;Serif"/>
          <w:b w:val="false"/>
          <w:i w:val="false"/>
          <w:caps/>
          <w:sz w:val="20"/>
        </w:rPr>
        <w:t>TABLE OF CONTENTS</w:t>
      </w:r>
    </w:p>
    <w:p>
      <w:pPr>
        <w:pStyle w:val="TextBody"/>
        <w:bidi w:val="0"/>
        <w:jc w:val="center"/>
        <w:rPr>
          <w:caps w:val="false"/>
          <w:smallCaps w:val="false"/>
        </w:rPr>
      </w:pPr>
      <w:r>
        <w:rPr>
          <w:caps w:val="false"/>
          <w:smallCaps w:val="false"/>
        </w:rPr>
        <w:t> </w:t>
      </w:r>
    </w:p>
    <w:tbl>
      <w:tblPr>
        <w:tblW w:w="9909" w:type="dxa"/>
        <w:jc w:val="left"/>
        <w:tblInd w:w="0" w:type="dxa"/>
        <w:tblLayout w:type="fixed"/>
        <w:tblCellMar>
          <w:top w:w="0" w:type="dxa"/>
          <w:left w:w="0" w:type="dxa"/>
          <w:bottom w:w="0" w:type="dxa"/>
          <w:right w:w="0" w:type="dxa"/>
        </w:tblCellMar>
      </w:tblPr>
      <w:tblGrid>
        <w:gridCol w:w="1794"/>
        <w:gridCol w:w="7510"/>
        <w:gridCol w:w="605"/>
      </w:tblGrid>
      <w:tr>
        <w:trPr/>
        <w:tc>
          <w:tcPr>
            <w:tcW w:w="1794" w:type="dxa"/>
            <w:tcBorders/>
            <w:vAlign w:val="center"/>
          </w:tcPr>
          <w:p>
            <w:pPr>
              <w:pStyle w:val="TableContents"/>
              <w:bidi w:val="0"/>
              <w:spacing w:before="0" w:after="283"/>
              <w:ind w:left="0" w:right="0" w:firstLine="180"/>
              <w:jc w:val="right"/>
              <w:rPr>
                <w:caps w:val="false"/>
                <w:smallCaps w:val="false"/>
              </w:rPr>
            </w:pPr>
            <w:r>
              <w:rPr>
                <w:caps w:val="false"/>
                <w:smallCaps w:val="false"/>
              </w:rPr>
              <w:t> </w:t>
            </w:r>
          </w:p>
        </w:tc>
        <w:tc>
          <w:tcPr>
            <w:tcW w:w="7510" w:type="dxa"/>
            <w:tcBorders/>
            <w:vAlign w:val="center"/>
          </w:tcPr>
          <w:p>
            <w:pPr>
              <w:pStyle w:val="TableContents"/>
              <w:bidi w:val="0"/>
              <w:spacing w:before="0" w:after="283"/>
              <w:jc w:val="right"/>
              <w:rPr>
                <w:caps w:val="false"/>
                <w:smallCaps w:val="false"/>
              </w:rPr>
            </w:pPr>
            <w:r>
              <w:rPr>
                <w:caps w:val="false"/>
                <w:smallCaps w:val="false"/>
              </w:rPr>
              <w:t> </w:t>
            </w:r>
          </w:p>
        </w:tc>
        <w:tc>
          <w:tcPr>
            <w:tcW w:w="605" w:type="dxa"/>
            <w:tcBorders>
              <w:bottom w:val="single" w:sz="12" w:space="0" w:color="000000"/>
            </w:tcBorders>
            <w:tcMar>
              <w:bottom w:w="28" w:type="dxa"/>
            </w:tcMar>
            <w:vAlign w:val="center"/>
          </w:tcPr>
          <w:p>
            <w:pPr>
              <w:pStyle w:val="TableContents"/>
              <w:bidi w:val="0"/>
              <w:spacing w:before="0" w:after="283"/>
              <w:ind w:left="0" w:right="0" w:firstLine="18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Page</w:t>
            </w:r>
          </w:p>
        </w:tc>
      </w:tr>
      <w:tr>
        <w:trPr/>
        <w:tc>
          <w:tcPr>
            <w:tcW w:w="1794" w:type="dxa"/>
            <w:tcBorders/>
            <w:vAlign w:val="center"/>
          </w:tcPr>
          <w:p>
            <w:pPr>
              <w:pStyle w:val="TableContents"/>
              <w:bidi w:val="0"/>
              <w:spacing w:before="0" w:after="283"/>
              <w:jc w:val="left"/>
              <w:rPr>
                <w:caps w:val="false"/>
                <w:smallCaps w:val="false"/>
              </w:rPr>
            </w:pPr>
            <w:r>
              <w:rPr>
                <w:caps w:val="false"/>
                <w:smallCaps w:val="false"/>
              </w:rPr>
              <w:t> </w:t>
            </w:r>
          </w:p>
        </w:tc>
        <w:tc>
          <w:tcPr>
            <w:tcW w:w="7510" w:type="dxa"/>
            <w:tcBorders/>
            <w:vAlign w:val="center"/>
          </w:tcPr>
          <w:p>
            <w:pPr>
              <w:pStyle w:val="TableContents"/>
              <w:bidi w:val="0"/>
              <w:spacing w:before="0" w:after="283"/>
              <w:jc w:val="left"/>
              <w:rPr>
                <w:caps w:val="false"/>
                <w:smallCaps w:val="false"/>
              </w:rPr>
            </w:pPr>
            <w:r>
              <w:rPr>
                <w:caps w:val="false"/>
                <w:smallCaps w:val="false"/>
              </w:rPr>
              <w:t> </w:t>
            </w:r>
          </w:p>
        </w:tc>
        <w:tc>
          <w:tcPr>
            <w:tcW w:w="605" w:type="dxa"/>
            <w:tcBorders/>
            <w:vAlign w:val="center"/>
          </w:tcPr>
          <w:p>
            <w:pPr>
              <w:pStyle w:val="TableContents"/>
              <w:bidi w:val="0"/>
              <w:spacing w:before="0" w:after="283"/>
              <w:jc w:val="center"/>
              <w:rPr>
                <w:caps w:val="false"/>
                <w:smallCaps w:val="false"/>
              </w:rPr>
            </w:pPr>
            <w:r>
              <w:rPr>
                <w:caps w:val="false"/>
                <w:smallCaps w:val="false"/>
              </w:rPr>
              <w:t> </w:t>
            </w:r>
          </w:p>
        </w:tc>
      </w:tr>
      <w:tr>
        <w:trPr/>
        <w:tc>
          <w:tcPr>
            <w:tcW w:w="9304" w:type="dxa"/>
            <w:gridSpan w:val="2"/>
            <w:tcBorders/>
            <w:shd w:fill="CCEEFF" w:val="clear"/>
            <w:vAlign w:val="center"/>
          </w:tcPr>
          <w:p>
            <w:pPr>
              <w:pStyle w:val="TableContents"/>
              <w:bidi w:val="0"/>
              <w:spacing w:before="0" w:after="283"/>
              <w:jc w:val="left"/>
              <w:rPr/>
            </w:pPr>
            <w:hyperlink w:anchor="a_001">
              <w:r>
                <w:rPr>
                  <w:rStyle w:val="InternetLink"/>
                  <w:rFonts w:ascii="Times New Roman;Times;Serif" w:hAnsi="Times New Roman;Times;Serif"/>
                  <w:b w:val="false"/>
                  <w:i w:val="false"/>
                  <w:caps w:val="false"/>
                  <w:smallCaps w:val="false"/>
                  <w:sz w:val="20"/>
                </w:rPr>
                <w:t>ARTICLE 1 DEFINITIONS</w:t>
              </w:r>
            </w:hyperlink>
          </w:p>
        </w:tc>
        <w:tc>
          <w:tcPr>
            <w:tcW w:w="605" w:type="dxa"/>
            <w:tcBorders/>
            <w:shd w:fill="CCEEFF" w:val="clear"/>
            <w:vAlign w:val="center"/>
          </w:tcPr>
          <w:p>
            <w:pPr>
              <w:pStyle w:val="TableContents"/>
              <w:bidi w:val="0"/>
              <w:spacing w:before="0" w:after="283"/>
              <w:ind w:left="0" w:right="0" w:firstLine="18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r>
      <w:tr>
        <w:trPr/>
        <w:tc>
          <w:tcPr>
            <w:tcW w:w="179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51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5" w:type="dxa"/>
            <w:tcBorders/>
            <w:shd w:fill="FFFFFF" w:val="clear"/>
            <w:vAlign w:val="center"/>
          </w:tcPr>
          <w:p>
            <w:pPr>
              <w:pStyle w:val="TableContents"/>
              <w:bidi w:val="0"/>
              <w:spacing w:before="0" w:after="283"/>
              <w:ind w:left="0" w:right="0" w:firstLine="180"/>
              <w:jc w:val="center"/>
              <w:rPr>
                <w:caps w:val="false"/>
                <w:smallCaps w:val="false"/>
              </w:rPr>
            </w:pPr>
            <w:r>
              <w:rPr>
                <w:caps w:val="false"/>
                <w:smallCaps w:val="false"/>
              </w:rPr>
              <w:t> </w:t>
            </w:r>
          </w:p>
        </w:tc>
      </w:tr>
      <w:tr>
        <w:trPr/>
        <w:tc>
          <w:tcPr>
            <w:tcW w:w="1794"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1.01</w:t>
            </w:r>
          </w:p>
        </w:tc>
        <w:tc>
          <w:tcPr>
            <w:tcW w:w="7510" w:type="dxa"/>
            <w:tcBorders/>
            <w:shd w:fill="CCEEFF" w:val="clear"/>
            <w:vAlign w:val="center"/>
          </w:tcPr>
          <w:p>
            <w:pPr>
              <w:pStyle w:val="TableContents"/>
              <w:bidi w:val="0"/>
              <w:spacing w:before="0" w:after="283"/>
              <w:jc w:val="left"/>
              <w:rPr/>
            </w:pPr>
            <w:hyperlink w:anchor="a_002">
              <w:r>
                <w:rPr>
                  <w:rStyle w:val="InternetLink"/>
                  <w:rFonts w:ascii="Times New Roman;Times;Serif" w:hAnsi="Times New Roman;Times;Serif"/>
                  <w:b w:val="false"/>
                  <w:i w:val="false"/>
                  <w:caps w:val="false"/>
                  <w:smallCaps w:val="false"/>
                  <w:sz w:val="20"/>
                </w:rPr>
                <w:t>Definitions of Terms</w:t>
              </w:r>
            </w:hyperlink>
          </w:p>
        </w:tc>
        <w:tc>
          <w:tcPr>
            <w:tcW w:w="605" w:type="dxa"/>
            <w:tcBorders/>
            <w:shd w:fill="CCEEFF" w:val="clear"/>
            <w:vAlign w:val="center"/>
          </w:tcPr>
          <w:p>
            <w:pPr>
              <w:pStyle w:val="TableContents"/>
              <w:bidi w:val="0"/>
              <w:spacing w:before="0" w:after="283"/>
              <w:ind w:left="0" w:right="0" w:firstLine="18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r>
      <w:tr>
        <w:trPr/>
        <w:tc>
          <w:tcPr>
            <w:tcW w:w="179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51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5"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r>
      <w:tr>
        <w:trPr/>
        <w:tc>
          <w:tcPr>
            <w:tcW w:w="9304" w:type="dxa"/>
            <w:gridSpan w:val="2"/>
            <w:tcBorders/>
            <w:shd w:fill="CCEEFF" w:val="clear"/>
            <w:vAlign w:val="center"/>
          </w:tcPr>
          <w:p>
            <w:pPr>
              <w:pStyle w:val="TableContents"/>
              <w:bidi w:val="0"/>
              <w:spacing w:before="0" w:after="283"/>
              <w:jc w:val="left"/>
              <w:rPr/>
            </w:pPr>
            <w:hyperlink w:anchor="a_003">
              <w:r>
                <w:rPr>
                  <w:rStyle w:val="InternetLink"/>
                  <w:rFonts w:ascii="Times New Roman;Times;Serif" w:hAnsi="Times New Roman;Times;Serif"/>
                  <w:b w:val="false"/>
                  <w:i w:val="false"/>
                  <w:caps w:val="false"/>
                  <w:smallCaps w:val="false"/>
                  <w:sz w:val="20"/>
                </w:rPr>
                <w:t>ARTICLE 2 ISSUE, DESCRIPTION, TERMS, EXECUTION, REGISTRATION AND EXCHANGE OF SECURITIES</w:t>
              </w:r>
            </w:hyperlink>
          </w:p>
        </w:tc>
        <w:tc>
          <w:tcPr>
            <w:tcW w:w="605" w:type="dxa"/>
            <w:tcBorders/>
            <w:shd w:fill="CCEEFF" w:val="clear"/>
            <w:vAlign w:val="center"/>
          </w:tcPr>
          <w:p>
            <w:pPr>
              <w:pStyle w:val="TableContents"/>
              <w:bidi w:val="0"/>
              <w:spacing w:before="0" w:after="283"/>
              <w:ind w:left="0" w:right="0" w:firstLine="18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w:t>
            </w:r>
          </w:p>
        </w:tc>
      </w:tr>
      <w:tr>
        <w:trPr/>
        <w:tc>
          <w:tcPr>
            <w:tcW w:w="179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51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5" w:type="dxa"/>
            <w:tcBorders/>
            <w:shd w:fill="FFFFFF" w:val="clear"/>
            <w:vAlign w:val="center"/>
          </w:tcPr>
          <w:p>
            <w:pPr>
              <w:pStyle w:val="TableContents"/>
              <w:bidi w:val="0"/>
              <w:spacing w:before="0" w:after="283"/>
              <w:ind w:left="0" w:right="0" w:firstLine="180"/>
              <w:jc w:val="center"/>
              <w:rPr>
                <w:caps w:val="false"/>
                <w:smallCaps w:val="false"/>
              </w:rPr>
            </w:pPr>
            <w:r>
              <w:rPr>
                <w:caps w:val="false"/>
                <w:smallCaps w:val="false"/>
              </w:rPr>
              <w:t> </w:t>
            </w:r>
          </w:p>
        </w:tc>
      </w:tr>
      <w:tr>
        <w:trPr/>
        <w:tc>
          <w:tcPr>
            <w:tcW w:w="1794"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2.01</w:t>
            </w:r>
          </w:p>
        </w:tc>
        <w:tc>
          <w:tcPr>
            <w:tcW w:w="7510" w:type="dxa"/>
            <w:tcBorders/>
            <w:shd w:fill="CCEEFF" w:val="clear"/>
            <w:vAlign w:val="center"/>
          </w:tcPr>
          <w:p>
            <w:pPr>
              <w:pStyle w:val="TableContents"/>
              <w:bidi w:val="0"/>
              <w:spacing w:before="0" w:after="283"/>
              <w:jc w:val="left"/>
              <w:rPr/>
            </w:pPr>
            <w:hyperlink w:anchor="a_004">
              <w:r>
                <w:rPr>
                  <w:rStyle w:val="InternetLink"/>
                  <w:rFonts w:ascii="Times New Roman;Times;Serif" w:hAnsi="Times New Roman;Times;Serif"/>
                  <w:b w:val="false"/>
                  <w:i w:val="false"/>
                  <w:caps w:val="false"/>
                  <w:smallCaps w:val="false"/>
                  <w:sz w:val="20"/>
                </w:rPr>
                <w:t>Designation and Terms of Securities</w:t>
              </w:r>
            </w:hyperlink>
          </w:p>
        </w:tc>
        <w:tc>
          <w:tcPr>
            <w:tcW w:w="605" w:type="dxa"/>
            <w:tcBorders/>
            <w:shd w:fill="CCEEFF" w:val="clear"/>
            <w:vAlign w:val="center"/>
          </w:tcPr>
          <w:p>
            <w:pPr>
              <w:pStyle w:val="TableContents"/>
              <w:bidi w:val="0"/>
              <w:spacing w:before="0" w:after="283"/>
              <w:ind w:left="0" w:right="0" w:firstLine="18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w:t>
            </w:r>
          </w:p>
        </w:tc>
      </w:tr>
      <w:tr>
        <w:trPr/>
        <w:tc>
          <w:tcPr>
            <w:tcW w:w="179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51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5" w:type="dxa"/>
            <w:tcBorders/>
            <w:shd w:fill="FFFFFF" w:val="clear"/>
            <w:vAlign w:val="center"/>
          </w:tcPr>
          <w:p>
            <w:pPr>
              <w:pStyle w:val="TableContents"/>
              <w:bidi w:val="0"/>
              <w:spacing w:before="0" w:after="283"/>
              <w:ind w:left="0" w:right="0" w:firstLine="180"/>
              <w:jc w:val="center"/>
              <w:rPr>
                <w:caps w:val="false"/>
                <w:smallCaps w:val="false"/>
              </w:rPr>
            </w:pPr>
            <w:r>
              <w:rPr>
                <w:caps w:val="false"/>
                <w:smallCaps w:val="false"/>
              </w:rPr>
              <w:t> </w:t>
            </w:r>
          </w:p>
        </w:tc>
      </w:tr>
      <w:tr>
        <w:trPr/>
        <w:tc>
          <w:tcPr>
            <w:tcW w:w="1794"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2.02</w:t>
            </w:r>
          </w:p>
        </w:tc>
        <w:tc>
          <w:tcPr>
            <w:tcW w:w="7510" w:type="dxa"/>
            <w:tcBorders/>
            <w:shd w:fill="CCEEFF" w:val="clear"/>
            <w:vAlign w:val="center"/>
          </w:tcPr>
          <w:p>
            <w:pPr>
              <w:pStyle w:val="TableContents"/>
              <w:bidi w:val="0"/>
              <w:spacing w:before="0" w:after="283"/>
              <w:jc w:val="left"/>
              <w:rPr/>
            </w:pPr>
            <w:hyperlink w:anchor="a_005">
              <w:r>
                <w:rPr>
                  <w:rStyle w:val="InternetLink"/>
                  <w:rFonts w:ascii="Times New Roman;Times;Serif" w:hAnsi="Times New Roman;Times;Serif"/>
                  <w:b w:val="false"/>
                  <w:i w:val="false"/>
                  <w:caps w:val="false"/>
                  <w:smallCaps w:val="false"/>
                  <w:sz w:val="20"/>
                </w:rPr>
                <w:t>Form of Securities and Trustee’s Certificate</w:t>
              </w:r>
            </w:hyperlink>
          </w:p>
        </w:tc>
        <w:tc>
          <w:tcPr>
            <w:tcW w:w="605" w:type="dxa"/>
            <w:tcBorders/>
            <w:shd w:fill="CCEEFF" w:val="clear"/>
            <w:vAlign w:val="center"/>
          </w:tcPr>
          <w:p>
            <w:pPr>
              <w:pStyle w:val="TableContents"/>
              <w:bidi w:val="0"/>
              <w:spacing w:before="0" w:after="283"/>
              <w:ind w:left="0" w:right="0" w:firstLine="18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w:t>
            </w:r>
          </w:p>
        </w:tc>
      </w:tr>
      <w:tr>
        <w:trPr/>
        <w:tc>
          <w:tcPr>
            <w:tcW w:w="179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51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5" w:type="dxa"/>
            <w:tcBorders/>
            <w:shd w:fill="FFFFFF" w:val="clear"/>
            <w:vAlign w:val="center"/>
          </w:tcPr>
          <w:p>
            <w:pPr>
              <w:pStyle w:val="TableContents"/>
              <w:bidi w:val="0"/>
              <w:spacing w:before="0" w:after="283"/>
              <w:ind w:left="0" w:right="0" w:firstLine="180"/>
              <w:jc w:val="center"/>
              <w:rPr>
                <w:caps w:val="false"/>
                <w:smallCaps w:val="false"/>
              </w:rPr>
            </w:pPr>
            <w:r>
              <w:rPr>
                <w:caps w:val="false"/>
                <w:smallCaps w:val="false"/>
              </w:rPr>
              <w:t> </w:t>
            </w:r>
          </w:p>
        </w:tc>
      </w:tr>
      <w:tr>
        <w:trPr/>
        <w:tc>
          <w:tcPr>
            <w:tcW w:w="1794"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2.03</w:t>
            </w:r>
          </w:p>
        </w:tc>
        <w:tc>
          <w:tcPr>
            <w:tcW w:w="7510" w:type="dxa"/>
            <w:tcBorders/>
            <w:shd w:fill="CCEEFF" w:val="clear"/>
            <w:vAlign w:val="center"/>
          </w:tcPr>
          <w:p>
            <w:pPr>
              <w:pStyle w:val="TableContents"/>
              <w:bidi w:val="0"/>
              <w:spacing w:before="0" w:after="283"/>
              <w:jc w:val="left"/>
              <w:rPr/>
            </w:pPr>
            <w:hyperlink w:anchor="a_006">
              <w:r>
                <w:rPr>
                  <w:rStyle w:val="InternetLink"/>
                  <w:rFonts w:ascii="Times New Roman;Times;Serif" w:hAnsi="Times New Roman;Times;Serif"/>
                  <w:b w:val="false"/>
                  <w:i w:val="false"/>
                  <w:caps w:val="false"/>
                  <w:smallCaps w:val="false"/>
                  <w:sz w:val="20"/>
                </w:rPr>
                <w:t>Denominations: Provisions for Payment</w:t>
              </w:r>
            </w:hyperlink>
          </w:p>
        </w:tc>
        <w:tc>
          <w:tcPr>
            <w:tcW w:w="605" w:type="dxa"/>
            <w:tcBorders/>
            <w:shd w:fill="CCEEFF" w:val="clear"/>
            <w:vAlign w:val="center"/>
          </w:tcPr>
          <w:p>
            <w:pPr>
              <w:pStyle w:val="TableContents"/>
              <w:bidi w:val="0"/>
              <w:spacing w:before="0" w:after="283"/>
              <w:ind w:left="0" w:right="0" w:firstLine="18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w:t>
            </w:r>
          </w:p>
        </w:tc>
      </w:tr>
      <w:tr>
        <w:trPr/>
        <w:tc>
          <w:tcPr>
            <w:tcW w:w="179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51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5" w:type="dxa"/>
            <w:tcBorders/>
            <w:shd w:fill="FFFFFF" w:val="clear"/>
            <w:vAlign w:val="center"/>
          </w:tcPr>
          <w:p>
            <w:pPr>
              <w:pStyle w:val="TableContents"/>
              <w:bidi w:val="0"/>
              <w:spacing w:before="0" w:after="283"/>
              <w:ind w:left="0" w:right="0" w:firstLine="180"/>
              <w:jc w:val="center"/>
              <w:rPr>
                <w:caps w:val="false"/>
                <w:smallCaps w:val="false"/>
              </w:rPr>
            </w:pPr>
            <w:r>
              <w:rPr>
                <w:caps w:val="false"/>
                <w:smallCaps w:val="false"/>
              </w:rPr>
              <w:t> </w:t>
            </w:r>
          </w:p>
        </w:tc>
      </w:tr>
      <w:tr>
        <w:trPr/>
        <w:tc>
          <w:tcPr>
            <w:tcW w:w="1794"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2.04</w:t>
            </w:r>
          </w:p>
        </w:tc>
        <w:tc>
          <w:tcPr>
            <w:tcW w:w="7510" w:type="dxa"/>
            <w:tcBorders/>
            <w:shd w:fill="CCEEFF" w:val="clear"/>
            <w:vAlign w:val="center"/>
          </w:tcPr>
          <w:p>
            <w:pPr>
              <w:pStyle w:val="TableContents"/>
              <w:bidi w:val="0"/>
              <w:spacing w:before="0" w:after="283"/>
              <w:jc w:val="left"/>
              <w:rPr/>
            </w:pPr>
            <w:hyperlink w:anchor="a_007">
              <w:r>
                <w:rPr>
                  <w:rStyle w:val="InternetLink"/>
                  <w:rFonts w:ascii="Times New Roman;Times;Serif" w:hAnsi="Times New Roman;Times;Serif"/>
                  <w:b w:val="false"/>
                  <w:i w:val="false"/>
                  <w:caps w:val="false"/>
                  <w:smallCaps w:val="false"/>
                  <w:sz w:val="20"/>
                </w:rPr>
                <w:t>Execution and Authentication</w:t>
              </w:r>
            </w:hyperlink>
          </w:p>
        </w:tc>
        <w:tc>
          <w:tcPr>
            <w:tcW w:w="605" w:type="dxa"/>
            <w:tcBorders/>
            <w:shd w:fill="CCEEFF" w:val="clear"/>
            <w:vAlign w:val="center"/>
          </w:tcPr>
          <w:p>
            <w:pPr>
              <w:pStyle w:val="TableContents"/>
              <w:bidi w:val="0"/>
              <w:spacing w:before="0" w:after="283"/>
              <w:ind w:left="0" w:right="0" w:firstLine="18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w:t>
            </w:r>
          </w:p>
        </w:tc>
      </w:tr>
      <w:tr>
        <w:trPr/>
        <w:tc>
          <w:tcPr>
            <w:tcW w:w="179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51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5" w:type="dxa"/>
            <w:tcBorders/>
            <w:shd w:fill="FFFFFF" w:val="clear"/>
            <w:vAlign w:val="center"/>
          </w:tcPr>
          <w:p>
            <w:pPr>
              <w:pStyle w:val="TableContents"/>
              <w:bidi w:val="0"/>
              <w:spacing w:before="0" w:after="283"/>
              <w:ind w:left="0" w:right="0" w:firstLine="180"/>
              <w:jc w:val="center"/>
              <w:rPr>
                <w:caps w:val="false"/>
                <w:smallCaps w:val="false"/>
              </w:rPr>
            </w:pPr>
            <w:r>
              <w:rPr>
                <w:caps w:val="false"/>
                <w:smallCaps w:val="false"/>
              </w:rPr>
              <w:t> </w:t>
            </w:r>
          </w:p>
        </w:tc>
      </w:tr>
      <w:tr>
        <w:trPr/>
        <w:tc>
          <w:tcPr>
            <w:tcW w:w="1794"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2.05</w:t>
            </w:r>
          </w:p>
        </w:tc>
        <w:tc>
          <w:tcPr>
            <w:tcW w:w="7510" w:type="dxa"/>
            <w:tcBorders/>
            <w:shd w:fill="CCEEFF" w:val="clear"/>
            <w:vAlign w:val="center"/>
          </w:tcPr>
          <w:p>
            <w:pPr>
              <w:pStyle w:val="TableContents"/>
              <w:bidi w:val="0"/>
              <w:spacing w:before="0" w:after="283"/>
              <w:jc w:val="left"/>
              <w:rPr/>
            </w:pPr>
            <w:hyperlink w:anchor="a_008">
              <w:r>
                <w:rPr>
                  <w:rStyle w:val="InternetLink"/>
                  <w:rFonts w:ascii="Times New Roman;Times;Serif" w:hAnsi="Times New Roman;Times;Serif"/>
                  <w:b w:val="false"/>
                  <w:i w:val="false"/>
                  <w:caps w:val="false"/>
                  <w:smallCaps w:val="false"/>
                  <w:sz w:val="20"/>
                </w:rPr>
                <w:t>Registration of Transfer and Exchange</w:t>
              </w:r>
            </w:hyperlink>
          </w:p>
        </w:tc>
        <w:tc>
          <w:tcPr>
            <w:tcW w:w="605" w:type="dxa"/>
            <w:tcBorders/>
            <w:shd w:fill="CCEEFF" w:val="clear"/>
            <w:vAlign w:val="center"/>
          </w:tcPr>
          <w:p>
            <w:pPr>
              <w:pStyle w:val="TableContents"/>
              <w:bidi w:val="0"/>
              <w:spacing w:before="0" w:after="283"/>
              <w:ind w:left="0" w:right="0" w:firstLine="18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w:t>
            </w:r>
          </w:p>
        </w:tc>
      </w:tr>
      <w:tr>
        <w:trPr/>
        <w:tc>
          <w:tcPr>
            <w:tcW w:w="179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51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5" w:type="dxa"/>
            <w:tcBorders/>
            <w:shd w:fill="FFFFFF" w:val="clear"/>
            <w:vAlign w:val="center"/>
          </w:tcPr>
          <w:p>
            <w:pPr>
              <w:pStyle w:val="TableContents"/>
              <w:bidi w:val="0"/>
              <w:spacing w:before="0" w:after="283"/>
              <w:ind w:left="0" w:right="0" w:firstLine="180"/>
              <w:jc w:val="center"/>
              <w:rPr>
                <w:caps w:val="false"/>
                <w:smallCaps w:val="false"/>
              </w:rPr>
            </w:pPr>
            <w:r>
              <w:rPr>
                <w:caps w:val="false"/>
                <w:smallCaps w:val="false"/>
              </w:rPr>
              <w:t> </w:t>
            </w:r>
          </w:p>
        </w:tc>
      </w:tr>
      <w:tr>
        <w:trPr/>
        <w:tc>
          <w:tcPr>
            <w:tcW w:w="1794"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2.06</w:t>
            </w:r>
          </w:p>
        </w:tc>
        <w:tc>
          <w:tcPr>
            <w:tcW w:w="7510" w:type="dxa"/>
            <w:tcBorders/>
            <w:shd w:fill="CCEEFF" w:val="clear"/>
            <w:vAlign w:val="center"/>
          </w:tcPr>
          <w:p>
            <w:pPr>
              <w:pStyle w:val="TableContents"/>
              <w:bidi w:val="0"/>
              <w:spacing w:before="0" w:after="283"/>
              <w:jc w:val="left"/>
              <w:rPr/>
            </w:pPr>
            <w:hyperlink w:anchor="a_009">
              <w:r>
                <w:rPr>
                  <w:rStyle w:val="InternetLink"/>
                  <w:rFonts w:ascii="Times New Roman;Times;Serif" w:hAnsi="Times New Roman;Times;Serif"/>
                  <w:b w:val="false"/>
                  <w:i w:val="false"/>
                  <w:caps w:val="false"/>
                  <w:smallCaps w:val="false"/>
                  <w:sz w:val="20"/>
                </w:rPr>
                <w:t>Temporary Securities</w:t>
              </w:r>
            </w:hyperlink>
          </w:p>
        </w:tc>
        <w:tc>
          <w:tcPr>
            <w:tcW w:w="605" w:type="dxa"/>
            <w:tcBorders/>
            <w:shd w:fill="CCEEFF" w:val="clear"/>
            <w:vAlign w:val="center"/>
          </w:tcPr>
          <w:p>
            <w:pPr>
              <w:pStyle w:val="TableContents"/>
              <w:bidi w:val="0"/>
              <w:spacing w:before="0" w:after="283"/>
              <w:ind w:left="0" w:right="0" w:firstLine="18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w:t>
            </w:r>
          </w:p>
        </w:tc>
      </w:tr>
      <w:tr>
        <w:trPr/>
        <w:tc>
          <w:tcPr>
            <w:tcW w:w="179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51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5" w:type="dxa"/>
            <w:tcBorders/>
            <w:shd w:fill="FFFFFF" w:val="clear"/>
            <w:vAlign w:val="center"/>
          </w:tcPr>
          <w:p>
            <w:pPr>
              <w:pStyle w:val="TableContents"/>
              <w:bidi w:val="0"/>
              <w:spacing w:before="0" w:after="283"/>
              <w:ind w:left="0" w:right="0" w:firstLine="180"/>
              <w:jc w:val="center"/>
              <w:rPr>
                <w:caps w:val="false"/>
                <w:smallCaps w:val="false"/>
              </w:rPr>
            </w:pPr>
            <w:r>
              <w:rPr>
                <w:caps w:val="false"/>
                <w:smallCaps w:val="false"/>
              </w:rPr>
              <w:t> </w:t>
            </w:r>
          </w:p>
        </w:tc>
      </w:tr>
      <w:tr>
        <w:trPr/>
        <w:tc>
          <w:tcPr>
            <w:tcW w:w="1794"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2.07</w:t>
            </w:r>
          </w:p>
        </w:tc>
        <w:tc>
          <w:tcPr>
            <w:tcW w:w="7510" w:type="dxa"/>
            <w:tcBorders/>
            <w:shd w:fill="CCEEFF" w:val="clear"/>
            <w:vAlign w:val="center"/>
          </w:tcPr>
          <w:p>
            <w:pPr>
              <w:pStyle w:val="TableContents"/>
              <w:bidi w:val="0"/>
              <w:spacing w:before="0" w:after="283"/>
              <w:jc w:val="left"/>
              <w:rPr/>
            </w:pPr>
            <w:hyperlink w:anchor="a_010">
              <w:r>
                <w:rPr>
                  <w:rStyle w:val="InternetLink"/>
                  <w:rFonts w:ascii="Times New Roman;Times;Serif" w:hAnsi="Times New Roman;Times;Serif"/>
                  <w:b w:val="false"/>
                  <w:i w:val="false"/>
                  <w:caps w:val="false"/>
                  <w:smallCaps w:val="false"/>
                  <w:sz w:val="20"/>
                </w:rPr>
                <w:t>Mutilated, Destroyed, Lost or Stolen Securities</w:t>
              </w:r>
            </w:hyperlink>
          </w:p>
        </w:tc>
        <w:tc>
          <w:tcPr>
            <w:tcW w:w="605" w:type="dxa"/>
            <w:tcBorders/>
            <w:shd w:fill="CCEEFF" w:val="clear"/>
            <w:vAlign w:val="center"/>
          </w:tcPr>
          <w:p>
            <w:pPr>
              <w:pStyle w:val="TableContents"/>
              <w:bidi w:val="0"/>
              <w:spacing w:before="0" w:after="283"/>
              <w:ind w:left="0" w:right="0" w:firstLine="18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w:t>
            </w:r>
          </w:p>
        </w:tc>
      </w:tr>
      <w:tr>
        <w:trPr/>
        <w:tc>
          <w:tcPr>
            <w:tcW w:w="179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51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5" w:type="dxa"/>
            <w:tcBorders/>
            <w:shd w:fill="FFFFFF" w:val="clear"/>
            <w:vAlign w:val="center"/>
          </w:tcPr>
          <w:p>
            <w:pPr>
              <w:pStyle w:val="TableContents"/>
              <w:bidi w:val="0"/>
              <w:spacing w:before="0" w:after="283"/>
              <w:ind w:left="0" w:right="0" w:firstLine="180"/>
              <w:jc w:val="center"/>
              <w:rPr>
                <w:caps w:val="false"/>
                <w:smallCaps w:val="false"/>
              </w:rPr>
            </w:pPr>
            <w:r>
              <w:rPr>
                <w:caps w:val="false"/>
                <w:smallCaps w:val="false"/>
              </w:rPr>
              <w:t> </w:t>
            </w:r>
          </w:p>
        </w:tc>
      </w:tr>
      <w:tr>
        <w:trPr/>
        <w:tc>
          <w:tcPr>
            <w:tcW w:w="1794"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2.08</w:t>
            </w:r>
          </w:p>
        </w:tc>
        <w:tc>
          <w:tcPr>
            <w:tcW w:w="7510" w:type="dxa"/>
            <w:tcBorders/>
            <w:shd w:fill="CCEEFF" w:val="clear"/>
            <w:vAlign w:val="center"/>
          </w:tcPr>
          <w:p>
            <w:pPr>
              <w:pStyle w:val="TableContents"/>
              <w:bidi w:val="0"/>
              <w:spacing w:before="0" w:after="283"/>
              <w:jc w:val="left"/>
              <w:rPr/>
            </w:pPr>
            <w:hyperlink w:anchor="a_011">
              <w:r>
                <w:rPr>
                  <w:rStyle w:val="InternetLink"/>
                  <w:rFonts w:ascii="Times New Roman;Times;Serif" w:hAnsi="Times New Roman;Times;Serif"/>
                  <w:b w:val="false"/>
                  <w:i w:val="false"/>
                  <w:caps w:val="false"/>
                  <w:smallCaps w:val="false"/>
                  <w:sz w:val="20"/>
                </w:rPr>
                <w:t>Cancellation</w:t>
              </w:r>
            </w:hyperlink>
          </w:p>
        </w:tc>
        <w:tc>
          <w:tcPr>
            <w:tcW w:w="605" w:type="dxa"/>
            <w:tcBorders/>
            <w:shd w:fill="CCEEFF" w:val="clear"/>
            <w:vAlign w:val="center"/>
          </w:tcPr>
          <w:p>
            <w:pPr>
              <w:pStyle w:val="TableContents"/>
              <w:bidi w:val="0"/>
              <w:spacing w:before="0" w:after="283"/>
              <w:ind w:left="0" w:right="0" w:firstLine="18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w:t>
            </w:r>
          </w:p>
        </w:tc>
      </w:tr>
      <w:tr>
        <w:trPr/>
        <w:tc>
          <w:tcPr>
            <w:tcW w:w="179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51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5" w:type="dxa"/>
            <w:tcBorders/>
            <w:shd w:fill="FFFFFF" w:val="clear"/>
            <w:vAlign w:val="center"/>
          </w:tcPr>
          <w:p>
            <w:pPr>
              <w:pStyle w:val="TableContents"/>
              <w:bidi w:val="0"/>
              <w:spacing w:before="0" w:after="283"/>
              <w:ind w:left="0" w:right="0" w:firstLine="180"/>
              <w:jc w:val="center"/>
              <w:rPr>
                <w:caps w:val="false"/>
                <w:smallCaps w:val="false"/>
              </w:rPr>
            </w:pPr>
            <w:r>
              <w:rPr>
                <w:caps w:val="false"/>
                <w:smallCaps w:val="false"/>
              </w:rPr>
              <w:t> </w:t>
            </w:r>
          </w:p>
        </w:tc>
      </w:tr>
      <w:tr>
        <w:trPr/>
        <w:tc>
          <w:tcPr>
            <w:tcW w:w="1794"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2.09</w:t>
            </w:r>
          </w:p>
        </w:tc>
        <w:tc>
          <w:tcPr>
            <w:tcW w:w="7510" w:type="dxa"/>
            <w:tcBorders/>
            <w:shd w:fill="CCEEFF" w:val="clear"/>
            <w:vAlign w:val="center"/>
          </w:tcPr>
          <w:p>
            <w:pPr>
              <w:pStyle w:val="TableContents"/>
              <w:bidi w:val="0"/>
              <w:spacing w:before="0" w:after="283"/>
              <w:jc w:val="left"/>
              <w:rPr/>
            </w:pPr>
            <w:hyperlink w:anchor="a_012">
              <w:r>
                <w:rPr>
                  <w:rStyle w:val="InternetLink"/>
                  <w:rFonts w:ascii="Times New Roman;Times;Serif" w:hAnsi="Times New Roman;Times;Serif"/>
                  <w:b w:val="false"/>
                  <w:i w:val="false"/>
                  <w:caps w:val="false"/>
                  <w:smallCaps w:val="false"/>
                  <w:sz w:val="20"/>
                </w:rPr>
                <w:t>Benefits of Indenture</w:t>
              </w:r>
            </w:hyperlink>
          </w:p>
        </w:tc>
        <w:tc>
          <w:tcPr>
            <w:tcW w:w="605" w:type="dxa"/>
            <w:tcBorders/>
            <w:shd w:fill="CCEEFF" w:val="clear"/>
            <w:vAlign w:val="center"/>
          </w:tcPr>
          <w:p>
            <w:pPr>
              <w:pStyle w:val="TableContents"/>
              <w:bidi w:val="0"/>
              <w:spacing w:before="0" w:after="283"/>
              <w:ind w:left="0" w:right="0" w:firstLine="18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w:t>
            </w:r>
          </w:p>
        </w:tc>
      </w:tr>
      <w:tr>
        <w:trPr/>
        <w:tc>
          <w:tcPr>
            <w:tcW w:w="179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51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5" w:type="dxa"/>
            <w:tcBorders/>
            <w:shd w:fill="FFFFFF" w:val="clear"/>
            <w:vAlign w:val="center"/>
          </w:tcPr>
          <w:p>
            <w:pPr>
              <w:pStyle w:val="TableContents"/>
              <w:bidi w:val="0"/>
              <w:spacing w:before="0" w:after="283"/>
              <w:ind w:left="0" w:right="0" w:firstLine="180"/>
              <w:jc w:val="center"/>
              <w:rPr>
                <w:caps w:val="false"/>
                <w:smallCaps w:val="false"/>
              </w:rPr>
            </w:pPr>
            <w:r>
              <w:rPr>
                <w:caps w:val="false"/>
                <w:smallCaps w:val="false"/>
              </w:rPr>
              <w:t> </w:t>
            </w:r>
          </w:p>
        </w:tc>
      </w:tr>
      <w:tr>
        <w:trPr/>
        <w:tc>
          <w:tcPr>
            <w:tcW w:w="1794"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2.10</w:t>
            </w:r>
          </w:p>
        </w:tc>
        <w:tc>
          <w:tcPr>
            <w:tcW w:w="7510" w:type="dxa"/>
            <w:tcBorders/>
            <w:shd w:fill="CCEEFF" w:val="clear"/>
            <w:vAlign w:val="center"/>
          </w:tcPr>
          <w:p>
            <w:pPr>
              <w:pStyle w:val="TableContents"/>
              <w:bidi w:val="0"/>
              <w:spacing w:before="0" w:after="283"/>
              <w:jc w:val="left"/>
              <w:rPr/>
            </w:pPr>
            <w:hyperlink w:anchor="a_013">
              <w:r>
                <w:rPr>
                  <w:rStyle w:val="InternetLink"/>
                  <w:rFonts w:ascii="Times New Roman;Times;Serif" w:hAnsi="Times New Roman;Times;Serif"/>
                  <w:b w:val="false"/>
                  <w:i w:val="false"/>
                  <w:caps w:val="false"/>
                  <w:smallCaps w:val="false"/>
                  <w:sz w:val="20"/>
                </w:rPr>
                <w:t>Authenticating Agent</w:t>
              </w:r>
            </w:hyperlink>
          </w:p>
        </w:tc>
        <w:tc>
          <w:tcPr>
            <w:tcW w:w="605" w:type="dxa"/>
            <w:tcBorders/>
            <w:shd w:fill="CCEEFF" w:val="clear"/>
            <w:vAlign w:val="center"/>
          </w:tcPr>
          <w:p>
            <w:pPr>
              <w:pStyle w:val="TableContents"/>
              <w:bidi w:val="0"/>
              <w:spacing w:before="0" w:after="283"/>
              <w:ind w:left="0" w:right="0" w:firstLine="18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w:t>
            </w:r>
          </w:p>
        </w:tc>
      </w:tr>
      <w:tr>
        <w:trPr/>
        <w:tc>
          <w:tcPr>
            <w:tcW w:w="179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51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5" w:type="dxa"/>
            <w:tcBorders/>
            <w:shd w:fill="FFFFFF" w:val="clear"/>
            <w:vAlign w:val="center"/>
          </w:tcPr>
          <w:p>
            <w:pPr>
              <w:pStyle w:val="TableContents"/>
              <w:bidi w:val="0"/>
              <w:spacing w:before="0" w:after="283"/>
              <w:ind w:left="0" w:right="0" w:firstLine="180"/>
              <w:jc w:val="center"/>
              <w:rPr>
                <w:caps w:val="false"/>
                <w:smallCaps w:val="false"/>
              </w:rPr>
            </w:pPr>
            <w:r>
              <w:rPr>
                <w:caps w:val="false"/>
                <w:smallCaps w:val="false"/>
              </w:rPr>
              <w:t> </w:t>
            </w:r>
          </w:p>
        </w:tc>
      </w:tr>
      <w:tr>
        <w:trPr/>
        <w:tc>
          <w:tcPr>
            <w:tcW w:w="1794"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2.11</w:t>
            </w:r>
          </w:p>
        </w:tc>
        <w:tc>
          <w:tcPr>
            <w:tcW w:w="7510" w:type="dxa"/>
            <w:tcBorders/>
            <w:shd w:fill="CCEEFF" w:val="clear"/>
            <w:vAlign w:val="center"/>
          </w:tcPr>
          <w:p>
            <w:pPr>
              <w:pStyle w:val="TableContents"/>
              <w:bidi w:val="0"/>
              <w:spacing w:before="0" w:after="283"/>
              <w:jc w:val="left"/>
              <w:rPr/>
            </w:pPr>
            <w:hyperlink w:anchor="a_014">
              <w:r>
                <w:rPr>
                  <w:rStyle w:val="InternetLink"/>
                  <w:rFonts w:ascii="Times New Roman;Times;Serif" w:hAnsi="Times New Roman;Times;Serif"/>
                  <w:b w:val="false"/>
                  <w:i w:val="false"/>
                  <w:caps w:val="false"/>
                  <w:smallCaps w:val="false"/>
                  <w:sz w:val="20"/>
                </w:rPr>
                <w:t>Global Securities</w:t>
              </w:r>
            </w:hyperlink>
          </w:p>
        </w:tc>
        <w:tc>
          <w:tcPr>
            <w:tcW w:w="605" w:type="dxa"/>
            <w:tcBorders/>
            <w:shd w:fill="CCEEFF" w:val="clear"/>
            <w:vAlign w:val="center"/>
          </w:tcPr>
          <w:p>
            <w:pPr>
              <w:pStyle w:val="TableContents"/>
              <w:bidi w:val="0"/>
              <w:spacing w:before="0" w:after="283"/>
              <w:ind w:left="0" w:right="0" w:firstLine="18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w:t>
            </w:r>
          </w:p>
        </w:tc>
      </w:tr>
      <w:tr>
        <w:trPr/>
        <w:tc>
          <w:tcPr>
            <w:tcW w:w="179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51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5"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r>
      <w:tr>
        <w:trPr/>
        <w:tc>
          <w:tcPr>
            <w:tcW w:w="9304" w:type="dxa"/>
            <w:gridSpan w:val="2"/>
            <w:tcBorders/>
            <w:shd w:fill="CCEEFF" w:val="clear"/>
            <w:vAlign w:val="center"/>
          </w:tcPr>
          <w:p>
            <w:pPr>
              <w:pStyle w:val="TableContents"/>
              <w:bidi w:val="0"/>
              <w:spacing w:before="0" w:after="283"/>
              <w:jc w:val="left"/>
              <w:rPr/>
            </w:pPr>
            <w:hyperlink w:anchor="a_015">
              <w:r>
                <w:rPr>
                  <w:rStyle w:val="InternetLink"/>
                  <w:rFonts w:ascii="Times New Roman;Times;Serif" w:hAnsi="Times New Roman;Times;Serif"/>
                  <w:b w:val="false"/>
                  <w:i w:val="false"/>
                  <w:caps w:val="false"/>
                  <w:smallCaps w:val="false"/>
                  <w:sz w:val="20"/>
                </w:rPr>
                <w:t>ARTICLE 3 REDEMPTION OF SECURITIES AND SINKING FUND PROVISIONS</w:t>
              </w:r>
            </w:hyperlink>
          </w:p>
        </w:tc>
        <w:tc>
          <w:tcPr>
            <w:tcW w:w="605" w:type="dxa"/>
            <w:tcBorders/>
            <w:shd w:fill="CCEEFF" w:val="clear"/>
            <w:vAlign w:val="center"/>
          </w:tcPr>
          <w:p>
            <w:pPr>
              <w:pStyle w:val="TableContents"/>
              <w:bidi w:val="0"/>
              <w:spacing w:before="0" w:after="283"/>
              <w:ind w:left="0" w:right="0" w:firstLine="18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w:t>
            </w:r>
          </w:p>
        </w:tc>
      </w:tr>
      <w:tr>
        <w:trPr/>
        <w:tc>
          <w:tcPr>
            <w:tcW w:w="179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51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5" w:type="dxa"/>
            <w:tcBorders/>
            <w:shd w:fill="FFFFFF" w:val="clear"/>
            <w:vAlign w:val="center"/>
          </w:tcPr>
          <w:p>
            <w:pPr>
              <w:pStyle w:val="TableContents"/>
              <w:bidi w:val="0"/>
              <w:spacing w:before="0" w:after="283"/>
              <w:ind w:left="0" w:right="0" w:firstLine="180"/>
              <w:jc w:val="center"/>
              <w:rPr>
                <w:caps w:val="false"/>
                <w:smallCaps w:val="false"/>
              </w:rPr>
            </w:pPr>
            <w:r>
              <w:rPr>
                <w:caps w:val="false"/>
                <w:smallCaps w:val="false"/>
              </w:rPr>
              <w:t> </w:t>
            </w:r>
          </w:p>
        </w:tc>
      </w:tr>
      <w:tr>
        <w:trPr/>
        <w:tc>
          <w:tcPr>
            <w:tcW w:w="1794"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3.01</w:t>
            </w:r>
          </w:p>
        </w:tc>
        <w:tc>
          <w:tcPr>
            <w:tcW w:w="7510" w:type="dxa"/>
            <w:tcBorders/>
            <w:shd w:fill="CCEEFF" w:val="clear"/>
            <w:vAlign w:val="center"/>
          </w:tcPr>
          <w:p>
            <w:pPr>
              <w:pStyle w:val="TableContents"/>
              <w:bidi w:val="0"/>
              <w:spacing w:before="0" w:after="283"/>
              <w:jc w:val="left"/>
              <w:rPr/>
            </w:pPr>
            <w:hyperlink w:anchor="a_016">
              <w:r>
                <w:rPr>
                  <w:rStyle w:val="InternetLink"/>
                  <w:rFonts w:ascii="Times New Roman;Times;Serif" w:hAnsi="Times New Roman;Times;Serif"/>
                  <w:b w:val="false"/>
                  <w:i w:val="false"/>
                  <w:caps w:val="false"/>
                  <w:smallCaps w:val="false"/>
                  <w:sz w:val="20"/>
                </w:rPr>
                <w:t>Redemption</w:t>
              </w:r>
            </w:hyperlink>
          </w:p>
        </w:tc>
        <w:tc>
          <w:tcPr>
            <w:tcW w:w="605" w:type="dxa"/>
            <w:tcBorders/>
            <w:shd w:fill="CCEEFF" w:val="clear"/>
            <w:vAlign w:val="center"/>
          </w:tcPr>
          <w:p>
            <w:pPr>
              <w:pStyle w:val="TableContents"/>
              <w:bidi w:val="0"/>
              <w:spacing w:before="0" w:after="283"/>
              <w:ind w:left="0" w:right="0" w:firstLine="18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w:t>
            </w:r>
          </w:p>
        </w:tc>
      </w:tr>
      <w:tr>
        <w:trPr/>
        <w:tc>
          <w:tcPr>
            <w:tcW w:w="179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51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5" w:type="dxa"/>
            <w:tcBorders/>
            <w:shd w:fill="FFFFFF" w:val="clear"/>
            <w:vAlign w:val="center"/>
          </w:tcPr>
          <w:p>
            <w:pPr>
              <w:pStyle w:val="TableContents"/>
              <w:bidi w:val="0"/>
              <w:spacing w:before="0" w:after="283"/>
              <w:ind w:left="0" w:right="0" w:firstLine="180"/>
              <w:jc w:val="center"/>
              <w:rPr>
                <w:caps w:val="false"/>
                <w:smallCaps w:val="false"/>
              </w:rPr>
            </w:pPr>
            <w:r>
              <w:rPr>
                <w:caps w:val="false"/>
                <w:smallCaps w:val="false"/>
              </w:rPr>
              <w:t> </w:t>
            </w:r>
          </w:p>
        </w:tc>
      </w:tr>
      <w:tr>
        <w:trPr/>
        <w:tc>
          <w:tcPr>
            <w:tcW w:w="1794"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3.02</w:t>
            </w:r>
          </w:p>
        </w:tc>
        <w:tc>
          <w:tcPr>
            <w:tcW w:w="7510" w:type="dxa"/>
            <w:tcBorders/>
            <w:shd w:fill="CCEEFF" w:val="clear"/>
            <w:vAlign w:val="center"/>
          </w:tcPr>
          <w:p>
            <w:pPr>
              <w:pStyle w:val="TableContents"/>
              <w:bidi w:val="0"/>
              <w:spacing w:before="0" w:after="283"/>
              <w:jc w:val="left"/>
              <w:rPr/>
            </w:pPr>
            <w:hyperlink w:anchor="a_017">
              <w:r>
                <w:rPr>
                  <w:rStyle w:val="InternetLink"/>
                  <w:rFonts w:ascii="Times New Roman;Times;Serif" w:hAnsi="Times New Roman;Times;Serif"/>
                  <w:b w:val="false"/>
                  <w:i w:val="false"/>
                  <w:caps w:val="false"/>
                  <w:smallCaps w:val="false"/>
                  <w:sz w:val="20"/>
                </w:rPr>
                <w:t>Notice of Redemption</w:t>
              </w:r>
            </w:hyperlink>
          </w:p>
        </w:tc>
        <w:tc>
          <w:tcPr>
            <w:tcW w:w="605" w:type="dxa"/>
            <w:tcBorders/>
            <w:shd w:fill="CCEEFF" w:val="clear"/>
            <w:vAlign w:val="center"/>
          </w:tcPr>
          <w:p>
            <w:pPr>
              <w:pStyle w:val="TableContents"/>
              <w:bidi w:val="0"/>
              <w:spacing w:before="0" w:after="283"/>
              <w:ind w:left="0" w:right="0" w:firstLine="18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w:t>
            </w:r>
          </w:p>
        </w:tc>
      </w:tr>
      <w:tr>
        <w:trPr/>
        <w:tc>
          <w:tcPr>
            <w:tcW w:w="179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51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5" w:type="dxa"/>
            <w:tcBorders/>
            <w:shd w:fill="FFFFFF" w:val="clear"/>
            <w:vAlign w:val="center"/>
          </w:tcPr>
          <w:p>
            <w:pPr>
              <w:pStyle w:val="TableContents"/>
              <w:bidi w:val="0"/>
              <w:spacing w:before="0" w:after="283"/>
              <w:ind w:left="0" w:right="0" w:firstLine="180"/>
              <w:jc w:val="center"/>
              <w:rPr>
                <w:caps w:val="false"/>
                <w:smallCaps w:val="false"/>
              </w:rPr>
            </w:pPr>
            <w:r>
              <w:rPr>
                <w:caps w:val="false"/>
                <w:smallCaps w:val="false"/>
              </w:rPr>
              <w:t> </w:t>
            </w:r>
          </w:p>
        </w:tc>
      </w:tr>
      <w:tr>
        <w:trPr/>
        <w:tc>
          <w:tcPr>
            <w:tcW w:w="1794"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3.03</w:t>
            </w:r>
          </w:p>
        </w:tc>
        <w:tc>
          <w:tcPr>
            <w:tcW w:w="7510" w:type="dxa"/>
            <w:tcBorders/>
            <w:shd w:fill="CCEEFF" w:val="clear"/>
            <w:vAlign w:val="center"/>
          </w:tcPr>
          <w:p>
            <w:pPr>
              <w:pStyle w:val="TableContents"/>
              <w:bidi w:val="0"/>
              <w:spacing w:before="0" w:after="283"/>
              <w:jc w:val="left"/>
              <w:rPr/>
            </w:pPr>
            <w:hyperlink w:anchor="a_018">
              <w:r>
                <w:rPr>
                  <w:rStyle w:val="InternetLink"/>
                  <w:rFonts w:ascii="Times New Roman;Times;Serif" w:hAnsi="Times New Roman;Times;Serif"/>
                  <w:b w:val="false"/>
                  <w:i w:val="false"/>
                  <w:caps w:val="false"/>
                  <w:smallCaps w:val="false"/>
                  <w:sz w:val="20"/>
                </w:rPr>
                <w:t>Payment Upon Redemption</w:t>
              </w:r>
            </w:hyperlink>
          </w:p>
        </w:tc>
        <w:tc>
          <w:tcPr>
            <w:tcW w:w="605" w:type="dxa"/>
            <w:tcBorders/>
            <w:shd w:fill="CCEEFF" w:val="clear"/>
            <w:vAlign w:val="center"/>
          </w:tcPr>
          <w:p>
            <w:pPr>
              <w:pStyle w:val="TableContents"/>
              <w:bidi w:val="0"/>
              <w:spacing w:before="0" w:after="283"/>
              <w:ind w:left="0" w:right="0" w:firstLine="18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w:t>
            </w:r>
          </w:p>
        </w:tc>
      </w:tr>
      <w:tr>
        <w:trPr/>
        <w:tc>
          <w:tcPr>
            <w:tcW w:w="179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51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5" w:type="dxa"/>
            <w:tcBorders/>
            <w:shd w:fill="FFFFFF" w:val="clear"/>
            <w:vAlign w:val="center"/>
          </w:tcPr>
          <w:p>
            <w:pPr>
              <w:pStyle w:val="TableContents"/>
              <w:bidi w:val="0"/>
              <w:spacing w:before="0" w:after="283"/>
              <w:ind w:left="0" w:right="0" w:firstLine="180"/>
              <w:jc w:val="center"/>
              <w:rPr>
                <w:caps w:val="false"/>
                <w:smallCaps w:val="false"/>
              </w:rPr>
            </w:pPr>
            <w:r>
              <w:rPr>
                <w:caps w:val="false"/>
                <w:smallCaps w:val="false"/>
              </w:rPr>
              <w:t> </w:t>
            </w:r>
          </w:p>
        </w:tc>
      </w:tr>
      <w:tr>
        <w:trPr/>
        <w:tc>
          <w:tcPr>
            <w:tcW w:w="1794"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3.04</w:t>
            </w:r>
          </w:p>
        </w:tc>
        <w:tc>
          <w:tcPr>
            <w:tcW w:w="7510" w:type="dxa"/>
            <w:tcBorders/>
            <w:shd w:fill="CCEEFF" w:val="clear"/>
            <w:vAlign w:val="center"/>
          </w:tcPr>
          <w:p>
            <w:pPr>
              <w:pStyle w:val="TableContents"/>
              <w:bidi w:val="0"/>
              <w:spacing w:before="0" w:after="283"/>
              <w:jc w:val="left"/>
              <w:rPr/>
            </w:pPr>
            <w:hyperlink w:anchor="a_019">
              <w:r>
                <w:rPr>
                  <w:rStyle w:val="InternetLink"/>
                  <w:rFonts w:ascii="Times New Roman;Times;Serif" w:hAnsi="Times New Roman;Times;Serif"/>
                  <w:b w:val="false"/>
                  <w:i w:val="false"/>
                  <w:caps w:val="false"/>
                  <w:smallCaps w:val="false"/>
                  <w:sz w:val="20"/>
                </w:rPr>
                <w:t>Sinking Fund</w:t>
              </w:r>
            </w:hyperlink>
          </w:p>
        </w:tc>
        <w:tc>
          <w:tcPr>
            <w:tcW w:w="605" w:type="dxa"/>
            <w:tcBorders/>
            <w:shd w:fill="CCEEFF" w:val="clear"/>
            <w:vAlign w:val="center"/>
          </w:tcPr>
          <w:p>
            <w:pPr>
              <w:pStyle w:val="TableContents"/>
              <w:bidi w:val="0"/>
              <w:spacing w:before="0" w:after="283"/>
              <w:ind w:left="0" w:right="0" w:firstLine="18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w:t>
            </w:r>
          </w:p>
        </w:tc>
      </w:tr>
      <w:tr>
        <w:trPr/>
        <w:tc>
          <w:tcPr>
            <w:tcW w:w="179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51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5" w:type="dxa"/>
            <w:tcBorders/>
            <w:shd w:fill="FFFFFF" w:val="clear"/>
            <w:vAlign w:val="center"/>
          </w:tcPr>
          <w:p>
            <w:pPr>
              <w:pStyle w:val="TableContents"/>
              <w:bidi w:val="0"/>
              <w:spacing w:before="0" w:after="283"/>
              <w:ind w:left="0" w:right="0" w:firstLine="180"/>
              <w:jc w:val="center"/>
              <w:rPr>
                <w:caps w:val="false"/>
                <w:smallCaps w:val="false"/>
              </w:rPr>
            </w:pPr>
            <w:r>
              <w:rPr>
                <w:caps w:val="false"/>
                <w:smallCaps w:val="false"/>
              </w:rPr>
              <w:t> </w:t>
            </w:r>
          </w:p>
        </w:tc>
      </w:tr>
      <w:tr>
        <w:trPr/>
        <w:tc>
          <w:tcPr>
            <w:tcW w:w="1794"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3.05</w:t>
            </w:r>
          </w:p>
        </w:tc>
        <w:tc>
          <w:tcPr>
            <w:tcW w:w="7510" w:type="dxa"/>
            <w:tcBorders/>
            <w:shd w:fill="CCEEFF" w:val="clear"/>
            <w:vAlign w:val="center"/>
          </w:tcPr>
          <w:p>
            <w:pPr>
              <w:pStyle w:val="TableContents"/>
              <w:bidi w:val="0"/>
              <w:spacing w:before="0" w:after="283"/>
              <w:jc w:val="left"/>
              <w:rPr/>
            </w:pPr>
            <w:hyperlink w:anchor="a_020">
              <w:r>
                <w:rPr>
                  <w:rStyle w:val="InternetLink"/>
                  <w:rFonts w:ascii="Times New Roman;Times;Serif" w:hAnsi="Times New Roman;Times;Serif"/>
                  <w:b w:val="false"/>
                  <w:i w:val="false"/>
                  <w:caps w:val="false"/>
                  <w:smallCaps w:val="false"/>
                  <w:sz w:val="20"/>
                </w:rPr>
                <w:t>Satisfaction of Sinking Fund Payments with Securities</w:t>
              </w:r>
            </w:hyperlink>
          </w:p>
        </w:tc>
        <w:tc>
          <w:tcPr>
            <w:tcW w:w="605" w:type="dxa"/>
            <w:tcBorders/>
            <w:shd w:fill="CCEEFF" w:val="clear"/>
            <w:vAlign w:val="center"/>
          </w:tcPr>
          <w:p>
            <w:pPr>
              <w:pStyle w:val="TableContents"/>
              <w:bidi w:val="0"/>
              <w:spacing w:before="0" w:after="283"/>
              <w:ind w:left="0" w:right="0" w:firstLine="18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w:t>
            </w:r>
          </w:p>
        </w:tc>
      </w:tr>
      <w:tr>
        <w:trPr/>
        <w:tc>
          <w:tcPr>
            <w:tcW w:w="179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51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5" w:type="dxa"/>
            <w:tcBorders/>
            <w:shd w:fill="FFFFFF" w:val="clear"/>
            <w:vAlign w:val="center"/>
          </w:tcPr>
          <w:p>
            <w:pPr>
              <w:pStyle w:val="TableContents"/>
              <w:bidi w:val="0"/>
              <w:spacing w:before="0" w:after="283"/>
              <w:ind w:left="0" w:right="0" w:firstLine="180"/>
              <w:jc w:val="center"/>
              <w:rPr>
                <w:caps w:val="false"/>
                <w:smallCaps w:val="false"/>
              </w:rPr>
            </w:pPr>
            <w:r>
              <w:rPr>
                <w:caps w:val="false"/>
                <w:smallCaps w:val="false"/>
              </w:rPr>
              <w:t> </w:t>
            </w:r>
          </w:p>
        </w:tc>
      </w:tr>
      <w:tr>
        <w:trPr/>
        <w:tc>
          <w:tcPr>
            <w:tcW w:w="1794"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3.06</w:t>
            </w:r>
          </w:p>
        </w:tc>
        <w:tc>
          <w:tcPr>
            <w:tcW w:w="7510" w:type="dxa"/>
            <w:tcBorders/>
            <w:shd w:fill="CCEEFF" w:val="clear"/>
            <w:vAlign w:val="center"/>
          </w:tcPr>
          <w:p>
            <w:pPr>
              <w:pStyle w:val="TableContents"/>
              <w:bidi w:val="0"/>
              <w:spacing w:before="0" w:after="283"/>
              <w:jc w:val="left"/>
              <w:rPr/>
            </w:pPr>
            <w:hyperlink w:anchor="a_021">
              <w:r>
                <w:rPr>
                  <w:rStyle w:val="InternetLink"/>
                  <w:rFonts w:ascii="Times New Roman;Times;Serif" w:hAnsi="Times New Roman;Times;Serif"/>
                  <w:b w:val="false"/>
                  <w:i w:val="false"/>
                  <w:caps w:val="false"/>
                  <w:smallCaps w:val="false"/>
                  <w:sz w:val="20"/>
                </w:rPr>
                <w:t>Redemption of Securities for Sinking Fund</w:t>
              </w:r>
            </w:hyperlink>
          </w:p>
        </w:tc>
        <w:tc>
          <w:tcPr>
            <w:tcW w:w="605" w:type="dxa"/>
            <w:tcBorders/>
            <w:shd w:fill="CCEEFF" w:val="clear"/>
            <w:vAlign w:val="center"/>
          </w:tcPr>
          <w:p>
            <w:pPr>
              <w:pStyle w:val="TableContents"/>
              <w:bidi w:val="0"/>
              <w:spacing w:before="0" w:after="283"/>
              <w:ind w:left="0" w:right="0" w:firstLine="18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w:t>
            </w:r>
          </w:p>
        </w:tc>
      </w:tr>
      <w:tr>
        <w:trPr/>
        <w:tc>
          <w:tcPr>
            <w:tcW w:w="179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51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5"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r>
      <w:tr>
        <w:trPr/>
        <w:tc>
          <w:tcPr>
            <w:tcW w:w="9304" w:type="dxa"/>
            <w:gridSpan w:val="2"/>
            <w:tcBorders/>
            <w:shd w:fill="CCEEFF" w:val="clear"/>
            <w:vAlign w:val="center"/>
          </w:tcPr>
          <w:p>
            <w:pPr>
              <w:pStyle w:val="TableContents"/>
              <w:bidi w:val="0"/>
              <w:spacing w:before="0" w:after="283"/>
              <w:jc w:val="left"/>
              <w:rPr/>
            </w:pPr>
            <w:hyperlink w:anchor="a_022">
              <w:r>
                <w:rPr>
                  <w:rStyle w:val="InternetLink"/>
                  <w:rFonts w:ascii="Times New Roman;Times;Serif" w:hAnsi="Times New Roman;Times;Serif"/>
                  <w:b w:val="false"/>
                  <w:i w:val="false"/>
                  <w:caps w:val="false"/>
                  <w:smallCaps w:val="false"/>
                  <w:sz w:val="20"/>
                </w:rPr>
                <w:t>ARTICLE 4 COVENANTS</w:t>
              </w:r>
            </w:hyperlink>
          </w:p>
        </w:tc>
        <w:tc>
          <w:tcPr>
            <w:tcW w:w="605" w:type="dxa"/>
            <w:tcBorders/>
            <w:shd w:fill="CCEEFF" w:val="clear"/>
            <w:vAlign w:val="center"/>
          </w:tcPr>
          <w:p>
            <w:pPr>
              <w:pStyle w:val="TableContents"/>
              <w:bidi w:val="0"/>
              <w:spacing w:before="0" w:after="283"/>
              <w:ind w:left="0" w:right="0" w:firstLine="18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17</w:t>
            </w:r>
          </w:p>
        </w:tc>
      </w:tr>
      <w:tr>
        <w:trPr/>
        <w:tc>
          <w:tcPr>
            <w:tcW w:w="179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51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5" w:type="dxa"/>
            <w:tcBorders/>
            <w:shd w:fill="FFFFFF" w:val="clear"/>
            <w:vAlign w:val="center"/>
          </w:tcPr>
          <w:p>
            <w:pPr>
              <w:pStyle w:val="TableContents"/>
              <w:bidi w:val="0"/>
              <w:spacing w:before="0" w:after="283"/>
              <w:ind w:left="0" w:right="0" w:firstLine="180"/>
              <w:jc w:val="center"/>
              <w:rPr>
                <w:caps w:val="false"/>
                <w:smallCaps w:val="false"/>
              </w:rPr>
            </w:pPr>
            <w:r>
              <w:rPr>
                <w:caps w:val="false"/>
                <w:smallCaps w:val="false"/>
              </w:rPr>
              <w:t> </w:t>
            </w:r>
          </w:p>
        </w:tc>
      </w:tr>
      <w:tr>
        <w:trPr/>
        <w:tc>
          <w:tcPr>
            <w:tcW w:w="1794"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4.01</w:t>
            </w:r>
          </w:p>
        </w:tc>
        <w:tc>
          <w:tcPr>
            <w:tcW w:w="7510" w:type="dxa"/>
            <w:tcBorders/>
            <w:shd w:fill="CCEEFF" w:val="clear"/>
            <w:vAlign w:val="center"/>
          </w:tcPr>
          <w:p>
            <w:pPr>
              <w:pStyle w:val="TableContents"/>
              <w:bidi w:val="0"/>
              <w:spacing w:before="0" w:after="283"/>
              <w:jc w:val="left"/>
              <w:rPr/>
            </w:pPr>
            <w:hyperlink w:anchor="a_023">
              <w:r>
                <w:rPr>
                  <w:rStyle w:val="InternetLink"/>
                  <w:rFonts w:ascii="Times New Roman;Times;Serif" w:hAnsi="Times New Roman;Times;Serif"/>
                  <w:b w:val="false"/>
                  <w:i w:val="false"/>
                  <w:caps w:val="false"/>
                  <w:smallCaps w:val="false"/>
                  <w:sz w:val="20"/>
                </w:rPr>
                <w:t>Payment of Principal, Premium and Interest</w:t>
              </w:r>
            </w:hyperlink>
          </w:p>
        </w:tc>
        <w:tc>
          <w:tcPr>
            <w:tcW w:w="60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17</w:t>
            </w:r>
          </w:p>
        </w:tc>
      </w:tr>
    </w:tbl>
    <w:p>
      <w:pPr>
        <w:pStyle w:val="TextBody"/>
        <w:bidi w:val="0"/>
        <w:jc w:val="both"/>
        <w:rPr>
          <w:caps w:val="false"/>
          <w:smallCaps w:val="false"/>
        </w:rPr>
      </w:pPr>
      <w:r>
        <w:rPr>
          <w:caps w:val="false"/>
          <w:smallCaps w:val="false"/>
        </w:rPr>
        <w:t> </w:t>
      </w:r>
    </w:p>
    <w:p>
      <w:pPr>
        <w:pStyle w:val="TextBody"/>
        <w:bidi w:val="0"/>
        <w:spacing w:before="0" w:after="0"/>
        <w:jc w:val="center"/>
        <w:rPr>
          <w:bdr w:val="single" w:sz="12" w:space="1" w:color="000000"/>
        </w:rPr>
      </w:pPr>
      <w:r>
        <w:rPr>
          <w:bdr w:val="single" w:sz="12" w:space="1" w:color="000000"/>
        </w:rPr>
        <w:t>i</w:t>
      </w:r>
    </w:p>
    <w:p>
      <w:pPr>
        <w:pStyle w:val="TextBody"/>
        <w:bidi w:val="0"/>
        <w:spacing w:before="0" w:after="0"/>
        <w:ind w:left="0" w:right="0" w:hanging="0"/>
        <w:jc w:val="left"/>
        <w:rPr/>
      </w:pPr>
      <w:r>
        <w:rPr/>
        <w:t> </w:t>
      </w:r>
    </w:p>
    <w:p>
      <w:pPr>
        <w:pStyle w:val="TextBody"/>
        <w:bidi w:val="0"/>
        <w:jc w:val="both"/>
        <w:rPr>
          <w:caps w:val="false"/>
          <w:smallCaps w:val="false"/>
        </w:rPr>
      </w:pPr>
      <w:r>
        <w:rPr>
          <w:caps w:val="false"/>
          <w:smallCaps w:val="false"/>
        </w:rPr>
        <w:t> </w:t>
      </w:r>
    </w:p>
    <w:p>
      <w:pPr>
        <w:pStyle w:val="TextBody"/>
        <w:bidi w:val="0"/>
        <w:jc w:val="center"/>
        <w:rPr>
          <w:rFonts w:ascii="Times New Roman;Times;Serif" w:hAnsi="Times New Roman;Times;Serif"/>
          <w:b w:val="false"/>
          <w:i w:val="false"/>
          <w:caps/>
          <w:sz w:val="20"/>
        </w:rPr>
      </w:pPr>
      <w:r>
        <w:rPr>
          <w:rFonts w:ascii="Times New Roman;Times;Serif" w:hAnsi="Times New Roman;Times;Serif"/>
          <w:b w:val="false"/>
          <w:i w:val="false"/>
          <w:caps/>
          <w:sz w:val="20"/>
        </w:rPr>
        <w:t>TABLE OF CONTENTS</w:t>
      </w:r>
    </w:p>
    <w:p>
      <w:pPr>
        <w:pStyle w:val="TextBody"/>
        <w:bidi w:val="0"/>
        <w:jc w:val="both"/>
        <w:rPr>
          <w:caps w:val="false"/>
          <w:smallCaps w:val="false"/>
        </w:rPr>
      </w:pPr>
      <w:r>
        <w:rPr>
          <w:caps w:val="false"/>
          <w:smallCaps w:val="false"/>
        </w:rPr>
        <w:t> </w:t>
      </w:r>
    </w:p>
    <w:tbl>
      <w:tblPr>
        <w:tblW w:w="8964" w:type="dxa"/>
        <w:jc w:val="left"/>
        <w:tblInd w:w="0" w:type="dxa"/>
        <w:tblLayout w:type="fixed"/>
        <w:tblCellMar>
          <w:top w:w="0" w:type="dxa"/>
          <w:left w:w="0" w:type="dxa"/>
          <w:bottom w:w="0" w:type="dxa"/>
          <w:right w:w="0" w:type="dxa"/>
        </w:tblCellMar>
      </w:tblPr>
      <w:tblGrid>
        <w:gridCol w:w="1316"/>
        <w:gridCol w:w="7043"/>
        <w:gridCol w:w="605"/>
      </w:tblGrid>
      <w:tr>
        <w:trPr/>
        <w:tc>
          <w:tcPr>
            <w:tcW w:w="1316" w:type="dxa"/>
            <w:tcBorders/>
            <w:vAlign w:val="center"/>
          </w:tcPr>
          <w:p>
            <w:pPr>
              <w:pStyle w:val="TableContents"/>
              <w:bidi w:val="0"/>
              <w:spacing w:before="0" w:after="283"/>
              <w:ind w:left="0" w:right="0" w:firstLine="180"/>
              <w:jc w:val="right"/>
              <w:rPr>
                <w:caps w:val="false"/>
                <w:smallCaps w:val="false"/>
              </w:rPr>
            </w:pPr>
            <w:r>
              <w:rPr>
                <w:caps w:val="false"/>
                <w:smallCaps w:val="false"/>
              </w:rPr>
              <w:t> </w:t>
            </w:r>
          </w:p>
        </w:tc>
        <w:tc>
          <w:tcPr>
            <w:tcW w:w="7043" w:type="dxa"/>
            <w:tcBorders/>
            <w:vAlign w:val="center"/>
          </w:tcPr>
          <w:p>
            <w:pPr>
              <w:pStyle w:val="TableContents"/>
              <w:bidi w:val="0"/>
              <w:spacing w:before="0" w:after="283"/>
              <w:jc w:val="right"/>
              <w:rPr>
                <w:caps w:val="false"/>
                <w:smallCaps w:val="false"/>
              </w:rPr>
            </w:pPr>
            <w:r>
              <w:rPr>
                <w:caps w:val="false"/>
                <w:smallCaps w:val="false"/>
              </w:rPr>
              <w:t> </w:t>
            </w:r>
          </w:p>
        </w:tc>
        <w:tc>
          <w:tcPr>
            <w:tcW w:w="605" w:type="dxa"/>
            <w:tcBorders>
              <w:bottom w:val="single" w:sz="12" w:space="0" w:color="000000"/>
            </w:tcBorders>
            <w:tcMar>
              <w:bottom w:w="28" w:type="dxa"/>
            </w:tcMar>
            <w:vAlign w:val="center"/>
          </w:tcPr>
          <w:p>
            <w:pPr>
              <w:pStyle w:val="TableContents"/>
              <w:bidi w:val="0"/>
              <w:spacing w:before="0" w:after="283"/>
              <w:ind w:left="0" w:right="0" w:firstLine="18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Page</w:t>
            </w:r>
          </w:p>
        </w:tc>
      </w:tr>
      <w:tr>
        <w:trPr/>
        <w:tc>
          <w:tcPr>
            <w:tcW w:w="131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04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5" w:type="dxa"/>
            <w:tcBorders/>
            <w:shd w:fill="FFFFFF" w:val="clear"/>
            <w:vAlign w:val="center"/>
          </w:tcPr>
          <w:p>
            <w:pPr>
              <w:pStyle w:val="TableContents"/>
              <w:bidi w:val="0"/>
              <w:spacing w:before="0" w:after="283"/>
              <w:ind w:left="0" w:right="0" w:firstLine="180"/>
              <w:jc w:val="center"/>
              <w:rPr>
                <w:caps w:val="false"/>
                <w:smallCaps w:val="false"/>
              </w:rPr>
            </w:pPr>
            <w:r>
              <w:rPr>
                <w:caps w:val="false"/>
                <w:smallCaps w:val="false"/>
              </w:rPr>
              <w:t> </w:t>
            </w:r>
          </w:p>
        </w:tc>
      </w:tr>
      <w:tr>
        <w:trPr/>
        <w:tc>
          <w:tcPr>
            <w:tcW w:w="1316"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4.02</w:t>
            </w:r>
          </w:p>
        </w:tc>
        <w:tc>
          <w:tcPr>
            <w:tcW w:w="7043" w:type="dxa"/>
            <w:tcBorders/>
            <w:shd w:fill="CCEEFF" w:val="clear"/>
            <w:vAlign w:val="center"/>
          </w:tcPr>
          <w:p>
            <w:pPr>
              <w:pStyle w:val="TableContents"/>
              <w:bidi w:val="0"/>
              <w:spacing w:before="0" w:after="283"/>
              <w:jc w:val="left"/>
              <w:rPr/>
            </w:pPr>
            <w:hyperlink w:anchor="a_024">
              <w:r>
                <w:rPr>
                  <w:rStyle w:val="InternetLink"/>
                  <w:rFonts w:ascii="Times New Roman;Times;Serif" w:hAnsi="Times New Roman;Times;Serif"/>
                  <w:b w:val="false"/>
                  <w:i w:val="false"/>
                  <w:caps w:val="false"/>
                  <w:smallCaps w:val="false"/>
                  <w:sz w:val="20"/>
                </w:rPr>
                <w:t>Maintenance of Office or Agency</w:t>
              </w:r>
            </w:hyperlink>
          </w:p>
        </w:tc>
        <w:tc>
          <w:tcPr>
            <w:tcW w:w="605" w:type="dxa"/>
            <w:tcBorders/>
            <w:shd w:fill="CCEEFF" w:val="clear"/>
            <w:vAlign w:val="center"/>
          </w:tcPr>
          <w:p>
            <w:pPr>
              <w:pStyle w:val="TableContents"/>
              <w:bidi w:val="0"/>
              <w:spacing w:before="0" w:after="283"/>
              <w:ind w:left="0" w:right="0" w:firstLine="18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17</w:t>
            </w:r>
          </w:p>
        </w:tc>
      </w:tr>
      <w:tr>
        <w:trPr/>
        <w:tc>
          <w:tcPr>
            <w:tcW w:w="131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04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5" w:type="dxa"/>
            <w:tcBorders/>
            <w:shd w:fill="FFFFFF" w:val="clear"/>
            <w:vAlign w:val="center"/>
          </w:tcPr>
          <w:p>
            <w:pPr>
              <w:pStyle w:val="TableContents"/>
              <w:bidi w:val="0"/>
              <w:spacing w:before="0" w:after="283"/>
              <w:ind w:left="0" w:right="0" w:firstLine="180"/>
              <w:jc w:val="center"/>
              <w:rPr>
                <w:caps w:val="false"/>
                <w:smallCaps w:val="false"/>
              </w:rPr>
            </w:pPr>
            <w:r>
              <w:rPr>
                <w:caps w:val="false"/>
                <w:smallCaps w:val="false"/>
              </w:rPr>
              <w:t> </w:t>
            </w:r>
          </w:p>
        </w:tc>
      </w:tr>
      <w:tr>
        <w:trPr/>
        <w:tc>
          <w:tcPr>
            <w:tcW w:w="1316"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4.03</w:t>
            </w:r>
          </w:p>
        </w:tc>
        <w:tc>
          <w:tcPr>
            <w:tcW w:w="7043" w:type="dxa"/>
            <w:tcBorders/>
            <w:shd w:fill="CCEEFF" w:val="clear"/>
            <w:vAlign w:val="center"/>
          </w:tcPr>
          <w:p>
            <w:pPr>
              <w:pStyle w:val="TableContents"/>
              <w:bidi w:val="0"/>
              <w:spacing w:before="0" w:after="283"/>
              <w:jc w:val="left"/>
              <w:rPr/>
            </w:pPr>
            <w:hyperlink w:anchor="a_025">
              <w:r>
                <w:rPr>
                  <w:rStyle w:val="InternetLink"/>
                  <w:rFonts w:ascii="Times New Roman;Times;Serif" w:hAnsi="Times New Roman;Times;Serif"/>
                  <w:b w:val="false"/>
                  <w:i w:val="false"/>
                  <w:caps w:val="false"/>
                  <w:smallCaps w:val="false"/>
                  <w:sz w:val="20"/>
                </w:rPr>
                <w:t>Paying Agents</w:t>
              </w:r>
            </w:hyperlink>
          </w:p>
        </w:tc>
        <w:tc>
          <w:tcPr>
            <w:tcW w:w="605" w:type="dxa"/>
            <w:tcBorders/>
            <w:shd w:fill="CCEEFF" w:val="clear"/>
            <w:vAlign w:val="center"/>
          </w:tcPr>
          <w:p>
            <w:pPr>
              <w:pStyle w:val="TableContents"/>
              <w:bidi w:val="0"/>
              <w:spacing w:before="0" w:after="283"/>
              <w:ind w:left="0" w:right="0" w:firstLine="18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17</w:t>
            </w:r>
          </w:p>
        </w:tc>
      </w:tr>
      <w:tr>
        <w:trPr/>
        <w:tc>
          <w:tcPr>
            <w:tcW w:w="131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04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5" w:type="dxa"/>
            <w:tcBorders/>
            <w:shd w:fill="FFFFFF" w:val="clear"/>
            <w:vAlign w:val="center"/>
          </w:tcPr>
          <w:p>
            <w:pPr>
              <w:pStyle w:val="TableContents"/>
              <w:bidi w:val="0"/>
              <w:spacing w:before="0" w:after="283"/>
              <w:ind w:left="0" w:right="0" w:firstLine="180"/>
              <w:jc w:val="center"/>
              <w:rPr>
                <w:caps w:val="false"/>
                <w:smallCaps w:val="false"/>
              </w:rPr>
            </w:pPr>
            <w:r>
              <w:rPr>
                <w:caps w:val="false"/>
                <w:smallCaps w:val="false"/>
              </w:rPr>
              <w:t> </w:t>
            </w:r>
          </w:p>
        </w:tc>
      </w:tr>
      <w:tr>
        <w:trPr/>
        <w:tc>
          <w:tcPr>
            <w:tcW w:w="1316"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4.04</w:t>
            </w:r>
          </w:p>
        </w:tc>
        <w:tc>
          <w:tcPr>
            <w:tcW w:w="7043" w:type="dxa"/>
            <w:tcBorders/>
            <w:shd w:fill="CCEEFF" w:val="clear"/>
            <w:vAlign w:val="center"/>
          </w:tcPr>
          <w:p>
            <w:pPr>
              <w:pStyle w:val="TableContents"/>
              <w:bidi w:val="0"/>
              <w:spacing w:before="0" w:after="283"/>
              <w:jc w:val="left"/>
              <w:rPr/>
            </w:pPr>
            <w:hyperlink w:anchor="a_026">
              <w:r>
                <w:rPr>
                  <w:rStyle w:val="InternetLink"/>
                  <w:rFonts w:ascii="Times New Roman;Times;Serif" w:hAnsi="Times New Roman;Times;Serif"/>
                  <w:b w:val="false"/>
                  <w:i w:val="false"/>
                  <w:caps w:val="false"/>
                  <w:smallCaps w:val="false"/>
                  <w:sz w:val="20"/>
                </w:rPr>
                <w:t>Appointment to Fill Vacancy in Office of Trustee</w:t>
              </w:r>
            </w:hyperlink>
          </w:p>
        </w:tc>
        <w:tc>
          <w:tcPr>
            <w:tcW w:w="605" w:type="dxa"/>
            <w:tcBorders/>
            <w:shd w:fill="CCEEFF" w:val="clear"/>
            <w:vAlign w:val="center"/>
          </w:tcPr>
          <w:p>
            <w:pPr>
              <w:pStyle w:val="TableContents"/>
              <w:bidi w:val="0"/>
              <w:spacing w:before="0" w:after="283"/>
              <w:ind w:left="0" w:right="0" w:firstLine="18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19</w:t>
            </w:r>
          </w:p>
        </w:tc>
      </w:tr>
      <w:tr>
        <w:trPr/>
        <w:tc>
          <w:tcPr>
            <w:tcW w:w="131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04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5" w:type="dxa"/>
            <w:tcBorders/>
            <w:shd w:fill="FFFFFF" w:val="clear"/>
            <w:vAlign w:val="center"/>
          </w:tcPr>
          <w:p>
            <w:pPr>
              <w:pStyle w:val="TableContents"/>
              <w:bidi w:val="0"/>
              <w:spacing w:before="0" w:after="283"/>
              <w:ind w:left="0" w:right="0" w:firstLine="180"/>
              <w:jc w:val="center"/>
              <w:rPr>
                <w:caps w:val="false"/>
                <w:smallCaps w:val="false"/>
              </w:rPr>
            </w:pPr>
            <w:r>
              <w:rPr>
                <w:caps w:val="false"/>
                <w:smallCaps w:val="false"/>
              </w:rPr>
              <w:t> </w:t>
            </w:r>
          </w:p>
        </w:tc>
      </w:tr>
      <w:tr>
        <w:trPr/>
        <w:tc>
          <w:tcPr>
            <w:tcW w:w="1316"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4.05</w:t>
            </w:r>
          </w:p>
        </w:tc>
        <w:tc>
          <w:tcPr>
            <w:tcW w:w="7043" w:type="dxa"/>
            <w:tcBorders/>
            <w:shd w:fill="CCEEFF" w:val="clear"/>
            <w:vAlign w:val="center"/>
          </w:tcPr>
          <w:p>
            <w:pPr>
              <w:pStyle w:val="TableContents"/>
              <w:bidi w:val="0"/>
              <w:spacing w:before="0" w:after="283"/>
              <w:jc w:val="left"/>
              <w:rPr/>
            </w:pPr>
            <w:hyperlink w:anchor="a_027">
              <w:r>
                <w:rPr>
                  <w:rStyle w:val="InternetLink"/>
                  <w:rFonts w:ascii="Times New Roman;Times;Serif" w:hAnsi="Times New Roman;Times;Serif"/>
                  <w:b w:val="false"/>
                  <w:i w:val="false"/>
                  <w:caps w:val="false"/>
                  <w:smallCaps w:val="false"/>
                  <w:sz w:val="20"/>
                </w:rPr>
                <w:t>Compliance with Consolidation Provisions</w:t>
              </w:r>
            </w:hyperlink>
          </w:p>
        </w:tc>
        <w:tc>
          <w:tcPr>
            <w:tcW w:w="605" w:type="dxa"/>
            <w:tcBorders/>
            <w:shd w:fill="CCEEFF" w:val="clear"/>
            <w:vAlign w:val="center"/>
          </w:tcPr>
          <w:p>
            <w:pPr>
              <w:pStyle w:val="TableContents"/>
              <w:bidi w:val="0"/>
              <w:spacing w:before="0" w:after="283"/>
              <w:ind w:left="0" w:right="0" w:firstLine="18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19</w:t>
            </w:r>
          </w:p>
        </w:tc>
      </w:tr>
      <w:tr>
        <w:trPr/>
        <w:tc>
          <w:tcPr>
            <w:tcW w:w="131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04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5"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r>
      <w:tr>
        <w:trPr/>
        <w:tc>
          <w:tcPr>
            <w:tcW w:w="8359" w:type="dxa"/>
            <w:gridSpan w:val="2"/>
            <w:tcBorders/>
            <w:shd w:fill="CCEEFF" w:val="clear"/>
            <w:vAlign w:val="center"/>
          </w:tcPr>
          <w:p>
            <w:pPr>
              <w:pStyle w:val="TableContents"/>
              <w:bidi w:val="0"/>
              <w:spacing w:before="0" w:after="283"/>
              <w:jc w:val="left"/>
              <w:rPr/>
            </w:pPr>
            <w:hyperlink w:anchor="a_028">
              <w:r>
                <w:rPr>
                  <w:rStyle w:val="InternetLink"/>
                  <w:rFonts w:ascii="Times New Roman;Times;Serif" w:hAnsi="Times New Roman;Times;Serif"/>
                  <w:b w:val="false"/>
                  <w:i w:val="false"/>
                  <w:caps w:val="false"/>
                  <w:smallCaps w:val="false"/>
                  <w:sz w:val="20"/>
                </w:rPr>
                <w:t>ARTICLE 5 SECURITYHOLDERS’ LISTS AND REPORTS BY THE COMPANY AND THE TRUSTEE</w:t>
              </w:r>
            </w:hyperlink>
          </w:p>
        </w:tc>
        <w:tc>
          <w:tcPr>
            <w:tcW w:w="605" w:type="dxa"/>
            <w:tcBorders/>
            <w:shd w:fill="CCEEFF" w:val="clear"/>
            <w:vAlign w:val="center"/>
          </w:tcPr>
          <w:p>
            <w:pPr>
              <w:pStyle w:val="TableContents"/>
              <w:bidi w:val="0"/>
              <w:spacing w:before="0" w:after="283"/>
              <w:ind w:left="0" w:right="0" w:firstLine="18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19</w:t>
            </w:r>
          </w:p>
        </w:tc>
      </w:tr>
      <w:tr>
        <w:trPr/>
        <w:tc>
          <w:tcPr>
            <w:tcW w:w="131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04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5" w:type="dxa"/>
            <w:tcBorders/>
            <w:shd w:fill="FFFFFF" w:val="clear"/>
            <w:vAlign w:val="center"/>
          </w:tcPr>
          <w:p>
            <w:pPr>
              <w:pStyle w:val="TableContents"/>
              <w:bidi w:val="0"/>
              <w:spacing w:before="0" w:after="283"/>
              <w:ind w:left="0" w:right="0" w:firstLine="180"/>
              <w:jc w:val="center"/>
              <w:rPr>
                <w:caps w:val="false"/>
                <w:smallCaps w:val="false"/>
              </w:rPr>
            </w:pPr>
            <w:r>
              <w:rPr>
                <w:caps w:val="false"/>
                <w:smallCaps w:val="false"/>
              </w:rPr>
              <w:t> </w:t>
            </w:r>
          </w:p>
        </w:tc>
      </w:tr>
      <w:tr>
        <w:trPr/>
        <w:tc>
          <w:tcPr>
            <w:tcW w:w="1316"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5.01</w:t>
            </w:r>
          </w:p>
        </w:tc>
        <w:tc>
          <w:tcPr>
            <w:tcW w:w="7043" w:type="dxa"/>
            <w:tcBorders/>
            <w:shd w:fill="CCEEFF" w:val="clear"/>
            <w:vAlign w:val="center"/>
          </w:tcPr>
          <w:p>
            <w:pPr>
              <w:pStyle w:val="TableContents"/>
              <w:bidi w:val="0"/>
              <w:spacing w:before="0" w:after="283"/>
              <w:jc w:val="left"/>
              <w:rPr/>
            </w:pPr>
            <w:hyperlink w:anchor="a_029">
              <w:r>
                <w:rPr>
                  <w:rStyle w:val="InternetLink"/>
                  <w:rFonts w:ascii="Times New Roman;Times;Serif" w:hAnsi="Times New Roman;Times;Serif"/>
                  <w:b w:val="false"/>
                  <w:i w:val="false"/>
                  <w:caps w:val="false"/>
                  <w:smallCaps w:val="false"/>
                  <w:sz w:val="20"/>
                </w:rPr>
                <w:t>Company to Furnish Trustee Names and Addresses of Securityholders</w:t>
              </w:r>
            </w:hyperlink>
          </w:p>
        </w:tc>
        <w:tc>
          <w:tcPr>
            <w:tcW w:w="605" w:type="dxa"/>
            <w:tcBorders/>
            <w:shd w:fill="CCEEFF" w:val="clear"/>
            <w:vAlign w:val="center"/>
          </w:tcPr>
          <w:p>
            <w:pPr>
              <w:pStyle w:val="TableContents"/>
              <w:bidi w:val="0"/>
              <w:spacing w:before="0" w:after="283"/>
              <w:ind w:left="0" w:right="0" w:firstLine="18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19</w:t>
            </w:r>
          </w:p>
        </w:tc>
      </w:tr>
      <w:tr>
        <w:trPr/>
        <w:tc>
          <w:tcPr>
            <w:tcW w:w="131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04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5" w:type="dxa"/>
            <w:tcBorders/>
            <w:shd w:fill="FFFFFF" w:val="clear"/>
            <w:vAlign w:val="center"/>
          </w:tcPr>
          <w:p>
            <w:pPr>
              <w:pStyle w:val="TableContents"/>
              <w:bidi w:val="0"/>
              <w:spacing w:before="0" w:after="283"/>
              <w:ind w:left="0" w:right="0" w:firstLine="180"/>
              <w:jc w:val="center"/>
              <w:rPr>
                <w:caps w:val="false"/>
                <w:smallCaps w:val="false"/>
              </w:rPr>
            </w:pPr>
            <w:r>
              <w:rPr>
                <w:caps w:val="false"/>
                <w:smallCaps w:val="false"/>
              </w:rPr>
              <w:t> </w:t>
            </w:r>
          </w:p>
        </w:tc>
      </w:tr>
      <w:tr>
        <w:trPr/>
        <w:tc>
          <w:tcPr>
            <w:tcW w:w="1316"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5.02</w:t>
            </w:r>
          </w:p>
        </w:tc>
        <w:tc>
          <w:tcPr>
            <w:tcW w:w="7043" w:type="dxa"/>
            <w:tcBorders/>
            <w:shd w:fill="CCEEFF" w:val="clear"/>
            <w:vAlign w:val="center"/>
          </w:tcPr>
          <w:p>
            <w:pPr>
              <w:pStyle w:val="TableContents"/>
              <w:bidi w:val="0"/>
              <w:spacing w:before="0" w:after="283"/>
              <w:jc w:val="left"/>
              <w:rPr/>
            </w:pPr>
            <w:hyperlink w:anchor="a_030">
              <w:r>
                <w:rPr>
                  <w:rStyle w:val="InternetLink"/>
                  <w:rFonts w:ascii="Times New Roman;Times;Serif" w:hAnsi="Times New Roman;Times;Serif"/>
                  <w:b w:val="false"/>
                  <w:i w:val="false"/>
                  <w:caps w:val="false"/>
                  <w:smallCaps w:val="false"/>
                  <w:sz w:val="20"/>
                </w:rPr>
                <w:t>Preservation Of Information; Communications With Securityholders</w:t>
              </w:r>
            </w:hyperlink>
          </w:p>
        </w:tc>
        <w:tc>
          <w:tcPr>
            <w:tcW w:w="605" w:type="dxa"/>
            <w:tcBorders/>
            <w:shd w:fill="CCEEFF" w:val="clear"/>
            <w:vAlign w:val="center"/>
          </w:tcPr>
          <w:p>
            <w:pPr>
              <w:pStyle w:val="TableContents"/>
              <w:bidi w:val="0"/>
              <w:spacing w:before="0" w:after="283"/>
              <w:ind w:left="0" w:right="0" w:firstLine="18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19</w:t>
            </w:r>
          </w:p>
        </w:tc>
      </w:tr>
      <w:tr>
        <w:trPr/>
        <w:tc>
          <w:tcPr>
            <w:tcW w:w="131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04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5" w:type="dxa"/>
            <w:tcBorders/>
            <w:shd w:fill="FFFFFF" w:val="clear"/>
            <w:vAlign w:val="center"/>
          </w:tcPr>
          <w:p>
            <w:pPr>
              <w:pStyle w:val="TableContents"/>
              <w:bidi w:val="0"/>
              <w:spacing w:before="0" w:after="283"/>
              <w:ind w:left="0" w:right="0" w:firstLine="180"/>
              <w:jc w:val="center"/>
              <w:rPr>
                <w:caps w:val="false"/>
                <w:smallCaps w:val="false"/>
              </w:rPr>
            </w:pPr>
            <w:r>
              <w:rPr>
                <w:caps w:val="false"/>
                <w:smallCaps w:val="false"/>
              </w:rPr>
              <w:t> </w:t>
            </w:r>
          </w:p>
        </w:tc>
      </w:tr>
      <w:tr>
        <w:trPr/>
        <w:tc>
          <w:tcPr>
            <w:tcW w:w="1316"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5.03</w:t>
            </w:r>
          </w:p>
        </w:tc>
        <w:tc>
          <w:tcPr>
            <w:tcW w:w="7043" w:type="dxa"/>
            <w:tcBorders/>
            <w:shd w:fill="CCEEFF" w:val="clear"/>
            <w:vAlign w:val="center"/>
          </w:tcPr>
          <w:p>
            <w:pPr>
              <w:pStyle w:val="TableContents"/>
              <w:bidi w:val="0"/>
              <w:spacing w:before="0" w:after="283"/>
              <w:jc w:val="left"/>
              <w:rPr/>
            </w:pPr>
            <w:hyperlink w:anchor="a_031">
              <w:r>
                <w:rPr>
                  <w:rStyle w:val="InternetLink"/>
                  <w:rFonts w:ascii="Times New Roman;Times;Serif" w:hAnsi="Times New Roman;Times;Serif"/>
                  <w:b w:val="false"/>
                  <w:i w:val="false"/>
                  <w:caps w:val="false"/>
                  <w:smallCaps w:val="false"/>
                  <w:sz w:val="20"/>
                </w:rPr>
                <w:t>Reports by the Company</w:t>
              </w:r>
            </w:hyperlink>
          </w:p>
        </w:tc>
        <w:tc>
          <w:tcPr>
            <w:tcW w:w="605" w:type="dxa"/>
            <w:tcBorders/>
            <w:shd w:fill="CCEEFF" w:val="clear"/>
            <w:vAlign w:val="center"/>
          </w:tcPr>
          <w:p>
            <w:pPr>
              <w:pStyle w:val="TableContents"/>
              <w:bidi w:val="0"/>
              <w:spacing w:before="0" w:after="283"/>
              <w:ind w:left="0" w:right="0" w:firstLine="18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w:t>
            </w:r>
          </w:p>
        </w:tc>
      </w:tr>
      <w:tr>
        <w:trPr/>
        <w:tc>
          <w:tcPr>
            <w:tcW w:w="131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04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5" w:type="dxa"/>
            <w:tcBorders/>
            <w:shd w:fill="FFFFFF" w:val="clear"/>
            <w:vAlign w:val="center"/>
          </w:tcPr>
          <w:p>
            <w:pPr>
              <w:pStyle w:val="TableContents"/>
              <w:bidi w:val="0"/>
              <w:spacing w:before="0" w:after="283"/>
              <w:ind w:left="0" w:right="0" w:firstLine="180"/>
              <w:jc w:val="center"/>
              <w:rPr>
                <w:caps w:val="false"/>
                <w:smallCaps w:val="false"/>
              </w:rPr>
            </w:pPr>
            <w:r>
              <w:rPr>
                <w:caps w:val="false"/>
                <w:smallCaps w:val="false"/>
              </w:rPr>
              <w:t> </w:t>
            </w:r>
          </w:p>
        </w:tc>
      </w:tr>
      <w:tr>
        <w:trPr/>
        <w:tc>
          <w:tcPr>
            <w:tcW w:w="1316"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5.04</w:t>
            </w:r>
          </w:p>
        </w:tc>
        <w:tc>
          <w:tcPr>
            <w:tcW w:w="7043" w:type="dxa"/>
            <w:tcBorders/>
            <w:shd w:fill="CCEEFF" w:val="clear"/>
            <w:vAlign w:val="center"/>
          </w:tcPr>
          <w:p>
            <w:pPr>
              <w:pStyle w:val="TableContents"/>
              <w:bidi w:val="0"/>
              <w:spacing w:before="0" w:after="283"/>
              <w:jc w:val="left"/>
              <w:rPr/>
            </w:pPr>
            <w:hyperlink w:anchor="a_032">
              <w:r>
                <w:rPr>
                  <w:rStyle w:val="InternetLink"/>
                  <w:rFonts w:ascii="Times New Roman;Times;Serif" w:hAnsi="Times New Roman;Times;Serif"/>
                  <w:b w:val="false"/>
                  <w:i w:val="false"/>
                  <w:caps w:val="false"/>
                  <w:smallCaps w:val="false"/>
                  <w:sz w:val="20"/>
                </w:rPr>
                <w:t>Reports by the Trustee</w:t>
              </w:r>
            </w:hyperlink>
          </w:p>
        </w:tc>
        <w:tc>
          <w:tcPr>
            <w:tcW w:w="605" w:type="dxa"/>
            <w:tcBorders/>
            <w:shd w:fill="CCEEFF" w:val="clear"/>
            <w:vAlign w:val="center"/>
          </w:tcPr>
          <w:p>
            <w:pPr>
              <w:pStyle w:val="TableContents"/>
              <w:bidi w:val="0"/>
              <w:spacing w:before="0" w:after="283"/>
              <w:ind w:left="0" w:right="0" w:firstLine="18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w:t>
            </w:r>
          </w:p>
        </w:tc>
      </w:tr>
      <w:tr>
        <w:trPr/>
        <w:tc>
          <w:tcPr>
            <w:tcW w:w="131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04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5"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r>
      <w:tr>
        <w:trPr/>
        <w:tc>
          <w:tcPr>
            <w:tcW w:w="8359" w:type="dxa"/>
            <w:gridSpan w:val="2"/>
            <w:tcBorders/>
            <w:shd w:fill="CCEEFF" w:val="clear"/>
            <w:vAlign w:val="center"/>
          </w:tcPr>
          <w:p>
            <w:pPr>
              <w:pStyle w:val="TableContents"/>
              <w:bidi w:val="0"/>
              <w:spacing w:before="0" w:after="283"/>
              <w:jc w:val="left"/>
              <w:rPr/>
            </w:pPr>
            <w:hyperlink w:anchor="a_033">
              <w:r>
                <w:rPr>
                  <w:rStyle w:val="InternetLink"/>
                  <w:rFonts w:ascii="Times New Roman;Times;Serif" w:hAnsi="Times New Roman;Times;Serif"/>
                  <w:b w:val="false"/>
                  <w:i w:val="false"/>
                  <w:caps w:val="false"/>
                  <w:smallCaps w:val="false"/>
                  <w:sz w:val="20"/>
                </w:rPr>
                <w:t>ARTICLE 6 REMEDIES OF THE TRUSTEE AND SECURITYHOLDERS ON EVENT OF DEFAULT</w:t>
              </w:r>
            </w:hyperlink>
          </w:p>
        </w:tc>
        <w:tc>
          <w:tcPr>
            <w:tcW w:w="605" w:type="dxa"/>
            <w:tcBorders/>
            <w:shd w:fill="CCEEFF" w:val="clear"/>
            <w:vAlign w:val="center"/>
          </w:tcPr>
          <w:p>
            <w:pPr>
              <w:pStyle w:val="TableContents"/>
              <w:bidi w:val="0"/>
              <w:spacing w:before="0" w:after="283"/>
              <w:ind w:left="0" w:right="0" w:firstLine="18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w:t>
            </w:r>
          </w:p>
        </w:tc>
      </w:tr>
      <w:tr>
        <w:trPr/>
        <w:tc>
          <w:tcPr>
            <w:tcW w:w="131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04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5" w:type="dxa"/>
            <w:tcBorders/>
            <w:shd w:fill="FFFFFF" w:val="clear"/>
            <w:vAlign w:val="center"/>
          </w:tcPr>
          <w:p>
            <w:pPr>
              <w:pStyle w:val="TableContents"/>
              <w:bidi w:val="0"/>
              <w:spacing w:before="0" w:after="283"/>
              <w:ind w:left="0" w:right="0" w:firstLine="180"/>
              <w:jc w:val="center"/>
              <w:rPr>
                <w:caps w:val="false"/>
                <w:smallCaps w:val="false"/>
              </w:rPr>
            </w:pPr>
            <w:r>
              <w:rPr>
                <w:caps w:val="false"/>
                <w:smallCaps w:val="false"/>
              </w:rPr>
              <w:t> </w:t>
            </w:r>
          </w:p>
        </w:tc>
      </w:tr>
      <w:tr>
        <w:trPr/>
        <w:tc>
          <w:tcPr>
            <w:tcW w:w="1316"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6.01</w:t>
            </w:r>
          </w:p>
        </w:tc>
        <w:tc>
          <w:tcPr>
            <w:tcW w:w="7043" w:type="dxa"/>
            <w:tcBorders/>
            <w:shd w:fill="CCEEFF" w:val="clear"/>
            <w:vAlign w:val="center"/>
          </w:tcPr>
          <w:p>
            <w:pPr>
              <w:pStyle w:val="TableContents"/>
              <w:bidi w:val="0"/>
              <w:spacing w:before="0" w:after="283"/>
              <w:jc w:val="left"/>
              <w:rPr/>
            </w:pPr>
            <w:hyperlink w:anchor="a_034">
              <w:r>
                <w:rPr>
                  <w:rStyle w:val="InternetLink"/>
                  <w:rFonts w:ascii="Times New Roman;Times;Serif" w:hAnsi="Times New Roman;Times;Serif"/>
                  <w:b w:val="false"/>
                  <w:i w:val="false"/>
                  <w:caps w:val="false"/>
                  <w:smallCaps w:val="false"/>
                  <w:sz w:val="20"/>
                </w:rPr>
                <w:t>Events of Default</w:t>
              </w:r>
            </w:hyperlink>
          </w:p>
        </w:tc>
        <w:tc>
          <w:tcPr>
            <w:tcW w:w="605" w:type="dxa"/>
            <w:tcBorders/>
            <w:shd w:fill="CCEEFF" w:val="clear"/>
            <w:vAlign w:val="center"/>
          </w:tcPr>
          <w:p>
            <w:pPr>
              <w:pStyle w:val="TableContents"/>
              <w:bidi w:val="0"/>
              <w:spacing w:before="0" w:after="283"/>
              <w:ind w:left="0" w:right="0" w:firstLine="18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w:t>
            </w:r>
          </w:p>
        </w:tc>
      </w:tr>
      <w:tr>
        <w:trPr/>
        <w:tc>
          <w:tcPr>
            <w:tcW w:w="131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04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5" w:type="dxa"/>
            <w:tcBorders/>
            <w:shd w:fill="FFFFFF" w:val="clear"/>
            <w:vAlign w:val="center"/>
          </w:tcPr>
          <w:p>
            <w:pPr>
              <w:pStyle w:val="TableContents"/>
              <w:bidi w:val="0"/>
              <w:spacing w:before="0" w:after="283"/>
              <w:ind w:left="0" w:right="0" w:firstLine="180"/>
              <w:jc w:val="center"/>
              <w:rPr>
                <w:caps w:val="false"/>
                <w:smallCaps w:val="false"/>
              </w:rPr>
            </w:pPr>
            <w:r>
              <w:rPr>
                <w:caps w:val="false"/>
                <w:smallCaps w:val="false"/>
              </w:rPr>
              <w:t> </w:t>
            </w:r>
          </w:p>
        </w:tc>
      </w:tr>
      <w:tr>
        <w:trPr/>
        <w:tc>
          <w:tcPr>
            <w:tcW w:w="1316"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6.02</w:t>
            </w:r>
          </w:p>
        </w:tc>
        <w:tc>
          <w:tcPr>
            <w:tcW w:w="7043" w:type="dxa"/>
            <w:tcBorders/>
            <w:shd w:fill="CCEEFF" w:val="clear"/>
            <w:vAlign w:val="center"/>
          </w:tcPr>
          <w:p>
            <w:pPr>
              <w:pStyle w:val="TableContents"/>
              <w:bidi w:val="0"/>
              <w:spacing w:before="0" w:after="283"/>
              <w:jc w:val="left"/>
              <w:rPr/>
            </w:pPr>
            <w:hyperlink w:anchor="a_035">
              <w:r>
                <w:rPr>
                  <w:rStyle w:val="InternetLink"/>
                  <w:rFonts w:ascii="Times New Roman;Times;Serif" w:hAnsi="Times New Roman;Times;Serif"/>
                  <w:b w:val="false"/>
                  <w:i w:val="false"/>
                  <w:caps w:val="false"/>
                  <w:smallCaps w:val="false"/>
                  <w:sz w:val="20"/>
                </w:rPr>
                <w:t>Collection of Indebtedness and Suits for Enforcement by Trustee</w:t>
              </w:r>
            </w:hyperlink>
          </w:p>
        </w:tc>
        <w:tc>
          <w:tcPr>
            <w:tcW w:w="605" w:type="dxa"/>
            <w:tcBorders/>
            <w:shd w:fill="CCEEFF" w:val="clear"/>
            <w:vAlign w:val="center"/>
          </w:tcPr>
          <w:p>
            <w:pPr>
              <w:pStyle w:val="TableContents"/>
              <w:bidi w:val="0"/>
              <w:spacing w:before="0" w:after="283"/>
              <w:ind w:left="0" w:right="0" w:firstLine="18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22</w:t>
            </w:r>
          </w:p>
        </w:tc>
      </w:tr>
      <w:tr>
        <w:trPr/>
        <w:tc>
          <w:tcPr>
            <w:tcW w:w="131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04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5" w:type="dxa"/>
            <w:tcBorders/>
            <w:shd w:fill="FFFFFF" w:val="clear"/>
            <w:vAlign w:val="center"/>
          </w:tcPr>
          <w:p>
            <w:pPr>
              <w:pStyle w:val="TableContents"/>
              <w:bidi w:val="0"/>
              <w:spacing w:before="0" w:after="283"/>
              <w:ind w:left="0" w:right="0" w:firstLine="180"/>
              <w:jc w:val="center"/>
              <w:rPr>
                <w:caps w:val="false"/>
                <w:smallCaps w:val="false"/>
              </w:rPr>
            </w:pPr>
            <w:r>
              <w:rPr>
                <w:caps w:val="false"/>
                <w:smallCaps w:val="false"/>
              </w:rPr>
              <w:t> </w:t>
            </w:r>
          </w:p>
        </w:tc>
      </w:tr>
      <w:tr>
        <w:trPr/>
        <w:tc>
          <w:tcPr>
            <w:tcW w:w="1316"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6.03</w:t>
            </w:r>
          </w:p>
        </w:tc>
        <w:tc>
          <w:tcPr>
            <w:tcW w:w="7043" w:type="dxa"/>
            <w:tcBorders/>
            <w:shd w:fill="CCEEFF" w:val="clear"/>
            <w:vAlign w:val="center"/>
          </w:tcPr>
          <w:p>
            <w:pPr>
              <w:pStyle w:val="TableContents"/>
              <w:bidi w:val="0"/>
              <w:spacing w:before="0" w:after="283"/>
              <w:jc w:val="left"/>
              <w:rPr/>
            </w:pPr>
            <w:hyperlink w:anchor="a_036">
              <w:r>
                <w:rPr>
                  <w:rStyle w:val="InternetLink"/>
                  <w:rFonts w:ascii="Times New Roman;Times;Serif" w:hAnsi="Times New Roman;Times;Serif"/>
                  <w:b w:val="false"/>
                  <w:i w:val="false"/>
                  <w:caps w:val="false"/>
                  <w:smallCaps w:val="false"/>
                  <w:sz w:val="20"/>
                </w:rPr>
                <w:t>Application of Moneys or Property Collected</w:t>
              </w:r>
            </w:hyperlink>
          </w:p>
        </w:tc>
        <w:tc>
          <w:tcPr>
            <w:tcW w:w="605" w:type="dxa"/>
            <w:tcBorders/>
            <w:shd w:fill="CCEEFF" w:val="clear"/>
            <w:vAlign w:val="center"/>
          </w:tcPr>
          <w:p>
            <w:pPr>
              <w:pStyle w:val="TableContents"/>
              <w:bidi w:val="0"/>
              <w:spacing w:before="0" w:after="283"/>
              <w:ind w:left="0" w:right="0" w:firstLine="18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24</w:t>
            </w:r>
          </w:p>
        </w:tc>
      </w:tr>
      <w:tr>
        <w:trPr/>
        <w:tc>
          <w:tcPr>
            <w:tcW w:w="131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04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5" w:type="dxa"/>
            <w:tcBorders/>
            <w:shd w:fill="FFFFFF" w:val="clear"/>
            <w:vAlign w:val="center"/>
          </w:tcPr>
          <w:p>
            <w:pPr>
              <w:pStyle w:val="TableContents"/>
              <w:bidi w:val="0"/>
              <w:spacing w:before="0" w:after="283"/>
              <w:ind w:left="0" w:right="0" w:firstLine="180"/>
              <w:jc w:val="center"/>
              <w:rPr>
                <w:caps w:val="false"/>
                <w:smallCaps w:val="false"/>
              </w:rPr>
            </w:pPr>
            <w:r>
              <w:rPr>
                <w:caps w:val="false"/>
                <w:smallCaps w:val="false"/>
              </w:rPr>
              <w:t> </w:t>
            </w:r>
          </w:p>
        </w:tc>
      </w:tr>
      <w:tr>
        <w:trPr/>
        <w:tc>
          <w:tcPr>
            <w:tcW w:w="1316"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6.04</w:t>
            </w:r>
          </w:p>
        </w:tc>
        <w:tc>
          <w:tcPr>
            <w:tcW w:w="7043" w:type="dxa"/>
            <w:tcBorders/>
            <w:shd w:fill="CCEEFF" w:val="clear"/>
            <w:vAlign w:val="center"/>
          </w:tcPr>
          <w:p>
            <w:pPr>
              <w:pStyle w:val="TableContents"/>
              <w:bidi w:val="0"/>
              <w:spacing w:before="0" w:after="283"/>
              <w:jc w:val="left"/>
              <w:rPr/>
            </w:pPr>
            <w:hyperlink w:anchor="a_037">
              <w:r>
                <w:rPr>
                  <w:rStyle w:val="InternetLink"/>
                  <w:rFonts w:ascii="Times New Roman;Times;Serif" w:hAnsi="Times New Roman;Times;Serif"/>
                  <w:b w:val="false"/>
                  <w:i w:val="false"/>
                  <w:caps w:val="false"/>
                  <w:smallCaps w:val="false"/>
                  <w:sz w:val="20"/>
                </w:rPr>
                <w:t>Limitation on Suits</w:t>
              </w:r>
            </w:hyperlink>
          </w:p>
        </w:tc>
        <w:tc>
          <w:tcPr>
            <w:tcW w:w="605" w:type="dxa"/>
            <w:tcBorders/>
            <w:shd w:fill="CCEEFF" w:val="clear"/>
            <w:vAlign w:val="center"/>
          </w:tcPr>
          <w:p>
            <w:pPr>
              <w:pStyle w:val="TableContents"/>
              <w:bidi w:val="0"/>
              <w:spacing w:before="0" w:after="283"/>
              <w:ind w:left="0" w:right="0" w:firstLine="18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24</w:t>
            </w:r>
          </w:p>
        </w:tc>
      </w:tr>
      <w:tr>
        <w:trPr/>
        <w:tc>
          <w:tcPr>
            <w:tcW w:w="131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04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5" w:type="dxa"/>
            <w:tcBorders/>
            <w:shd w:fill="FFFFFF" w:val="clear"/>
            <w:vAlign w:val="center"/>
          </w:tcPr>
          <w:p>
            <w:pPr>
              <w:pStyle w:val="TableContents"/>
              <w:bidi w:val="0"/>
              <w:spacing w:before="0" w:after="283"/>
              <w:ind w:left="0" w:right="0" w:firstLine="180"/>
              <w:jc w:val="center"/>
              <w:rPr>
                <w:caps w:val="false"/>
                <w:smallCaps w:val="false"/>
              </w:rPr>
            </w:pPr>
            <w:r>
              <w:rPr>
                <w:caps w:val="false"/>
                <w:smallCaps w:val="false"/>
              </w:rPr>
              <w:t> </w:t>
            </w:r>
          </w:p>
        </w:tc>
      </w:tr>
      <w:tr>
        <w:trPr/>
        <w:tc>
          <w:tcPr>
            <w:tcW w:w="1316"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6.05</w:t>
            </w:r>
          </w:p>
        </w:tc>
        <w:tc>
          <w:tcPr>
            <w:tcW w:w="7043" w:type="dxa"/>
            <w:tcBorders/>
            <w:shd w:fill="CCEEFF" w:val="clear"/>
            <w:vAlign w:val="center"/>
          </w:tcPr>
          <w:p>
            <w:pPr>
              <w:pStyle w:val="TableContents"/>
              <w:bidi w:val="0"/>
              <w:spacing w:before="0" w:after="283"/>
              <w:jc w:val="left"/>
              <w:rPr/>
            </w:pPr>
            <w:hyperlink w:anchor="a_038">
              <w:r>
                <w:rPr>
                  <w:rStyle w:val="InternetLink"/>
                  <w:rFonts w:ascii="Times New Roman;Times;Serif" w:hAnsi="Times New Roman;Times;Serif"/>
                  <w:b w:val="false"/>
                  <w:i w:val="false"/>
                  <w:caps w:val="false"/>
                  <w:smallCaps w:val="false"/>
                  <w:sz w:val="20"/>
                </w:rPr>
                <w:t>Rights and Remedies Cumulative; Delay or Omission Not Waiver</w:t>
              </w:r>
            </w:hyperlink>
          </w:p>
        </w:tc>
        <w:tc>
          <w:tcPr>
            <w:tcW w:w="605" w:type="dxa"/>
            <w:tcBorders/>
            <w:shd w:fill="CCEEFF" w:val="clear"/>
            <w:vAlign w:val="center"/>
          </w:tcPr>
          <w:p>
            <w:pPr>
              <w:pStyle w:val="TableContents"/>
              <w:bidi w:val="0"/>
              <w:spacing w:before="0" w:after="283"/>
              <w:ind w:left="0" w:right="0" w:firstLine="18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25</w:t>
            </w:r>
          </w:p>
        </w:tc>
      </w:tr>
      <w:tr>
        <w:trPr/>
        <w:tc>
          <w:tcPr>
            <w:tcW w:w="131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04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5" w:type="dxa"/>
            <w:tcBorders/>
            <w:shd w:fill="FFFFFF" w:val="clear"/>
            <w:vAlign w:val="center"/>
          </w:tcPr>
          <w:p>
            <w:pPr>
              <w:pStyle w:val="TableContents"/>
              <w:bidi w:val="0"/>
              <w:spacing w:before="0" w:after="283"/>
              <w:ind w:left="0" w:right="0" w:firstLine="180"/>
              <w:jc w:val="center"/>
              <w:rPr>
                <w:caps w:val="false"/>
                <w:smallCaps w:val="false"/>
              </w:rPr>
            </w:pPr>
            <w:r>
              <w:rPr>
                <w:caps w:val="false"/>
                <w:smallCaps w:val="false"/>
              </w:rPr>
              <w:t> </w:t>
            </w:r>
          </w:p>
        </w:tc>
      </w:tr>
      <w:tr>
        <w:trPr/>
        <w:tc>
          <w:tcPr>
            <w:tcW w:w="1316"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6.06</w:t>
            </w:r>
          </w:p>
        </w:tc>
        <w:tc>
          <w:tcPr>
            <w:tcW w:w="7043" w:type="dxa"/>
            <w:tcBorders/>
            <w:shd w:fill="CCEEFF" w:val="clear"/>
            <w:vAlign w:val="center"/>
          </w:tcPr>
          <w:p>
            <w:pPr>
              <w:pStyle w:val="TableContents"/>
              <w:bidi w:val="0"/>
              <w:spacing w:before="0" w:after="283"/>
              <w:jc w:val="left"/>
              <w:rPr/>
            </w:pPr>
            <w:hyperlink w:anchor="a_039">
              <w:r>
                <w:rPr>
                  <w:rStyle w:val="InternetLink"/>
                  <w:rFonts w:ascii="Times New Roman;Times;Serif" w:hAnsi="Times New Roman;Times;Serif"/>
                  <w:b w:val="false"/>
                  <w:i w:val="false"/>
                  <w:caps w:val="false"/>
                  <w:smallCaps w:val="false"/>
                  <w:sz w:val="20"/>
                </w:rPr>
                <w:t>Control by Securityholders</w:t>
              </w:r>
            </w:hyperlink>
          </w:p>
        </w:tc>
        <w:tc>
          <w:tcPr>
            <w:tcW w:w="605" w:type="dxa"/>
            <w:tcBorders/>
            <w:shd w:fill="CCEEFF" w:val="clear"/>
            <w:vAlign w:val="center"/>
          </w:tcPr>
          <w:p>
            <w:pPr>
              <w:pStyle w:val="TableContents"/>
              <w:bidi w:val="0"/>
              <w:spacing w:before="0" w:after="283"/>
              <w:ind w:left="0" w:right="0" w:firstLine="18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25</w:t>
            </w:r>
          </w:p>
        </w:tc>
      </w:tr>
      <w:tr>
        <w:trPr/>
        <w:tc>
          <w:tcPr>
            <w:tcW w:w="131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04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5" w:type="dxa"/>
            <w:tcBorders/>
            <w:shd w:fill="FFFFFF" w:val="clear"/>
            <w:vAlign w:val="center"/>
          </w:tcPr>
          <w:p>
            <w:pPr>
              <w:pStyle w:val="TableContents"/>
              <w:bidi w:val="0"/>
              <w:spacing w:before="0" w:after="283"/>
              <w:ind w:left="0" w:right="0" w:firstLine="180"/>
              <w:jc w:val="center"/>
              <w:rPr>
                <w:caps w:val="false"/>
                <w:smallCaps w:val="false"/>
              </w:rPr>
            </w:pPr>
            <w:r>
              <w:rPr>
                <w:caps w:val="false"/>
                <w:smallCaps w:val="false"/>
              </w:rPr>
              <w:t> </w:t>
            </w:r>
          </w:p>
        </w:tc>
      </w:tr>
      <w:tr>
        <w:trPr/>
        <w:tc>
          <w:tcPr>
            <w:tcW w:w="1316"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6.07</w:t>
            </w:r>
          </w:p>
        </w:tc>
        <w:tc>
          <w:tcPr>
            <w:tcW w:w="7043" w:type="dxa"/>
            <w:tcBorders/>
            <w:shd w:fill="CCEEFF" w:val="clear"/>
            <w:vAlign w:val="center"/>
          </w:tcPr>
          <w:p>
            <w:pPr>
              <w:pStyle w:val="TableContents"/>
              <w:bidi w:val="0"/>
              <w:spacing w:before="0" w:after="283"/>
              <w:jc w:val="left"/>
              <w:rPr/>
            </w:pPr>
            <w:hyperlink w:anchor="a_040">
              <w:r>
                <w:rPr>
                  <w:rStyle w:val="InternetLink"/>
                  <w:rFonts w:ascii="Times New Roman;Times;Serif" w:hAnsi="Times New Roman;Times;Serif"/>
                  <w:b w:val="false"/>
                  <w:i w:val="false"/>
                  <w:caps w:val="false"/>
                  <w:smallCaps w:val="false"/>
                  <w:sz w:val="20"/>
                </w:rPr>
                <w:t>Undertaking to Pay Costs</w:t>
              </w:r>
            </w:hyperlink>
          </w:p>
        </w:tc>
        <w:tc>
          <w:tcPr>
            <w:tcW w:w="605" w:type="dxa"/>
            <w:tcBorders/>
            <w:shd w:fill="CCEEFF" w:val="clear"/>
            <w:vAlign w:val="center"/>
          </w:tcPr>
          <w:p>
            <w:pPr>
              <w:pStyle w:val="TableContents"/>
              <w:bidi w:val="0"/>
              <w:spacing w:before="0" w:after="283"/>
              <w:ind w:left="0" w:right="0" w:firstLine="18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26</w:t>
            </w:r>
          </w:p>
        </w:tc>
      </w:tr>
      <w:tr>
        <w:trPr/>
        <w:tc>
          <w:tcPr>
            <w:tcW w:w="131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04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5"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r>
      <w:tr>
        <w:trPr/>
        <w:tc>
          <w:tcPr>
            <w:tcW w:w="8359" w:type="dxa"/>
            <w:gridSpan w:val="2"/>
            <w:tcBorders/>
            <w:shd w:fill="CCEEFF" w:val="clear"/>
            <w:vAlign w:val="center"/>
          </w:tcPr>
          <w:p>
            <w:pPr>
              <w:pStyle w:val="TableContents"/>
              <w:bidi w:val="0"/>
              <w:spacing w:before="0" w:after="283"/>
              <w:jc w:val="left"/>
              <w:rPr/>
            </w:pPr>
            <w:hyperlink w:anchor="a_041">
              <w:r>
                <w:rPr>
                  <w:rStyle w:val="InternetLink"/>
                  <w:rFonts w:ascii="Times New Roman;Times;Serif" w:hAnsi="Times New Roman;Times;Serif"/>
                  <w:b w:val="false"/>
                  <w:i w:val="false"/>
                  <w:caps w:val="false"/>
                  <w:smallCaps w:val="false"/>
                  <w:sz w:val="20"/>
                </w:rPr>
                <w:t>ARTICLE 7 CONCERNING THE TRUSTEE</w:t>
              </w:r>
            </w:hyperlink>
          </w:p>
        </w:tc>
        <w:tc>
          <w:tcPr>
            <w:tcW w:w="605" w:type="dxa"/>
            <w:tcBorders/>
            <w:shd w:fill="CCEEFF" w:val="clear"/>
            <w:vAlign w:val="center"/>
          </w:tcPr>
          <w:p>
            <w:pPr>
              <w:pStyle w:val="TableContents"/>
              <w:bidi w:val="0"/>
              <w:spacing w:before="0" w:after="283"/>
              <w:ind w:left="0" w:right="0" w:firstLine="18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26</w:t>
            </w:r>
          </w:p>
        </w:tc>
      </w:tr>
      <w:tr>
        <w:trPr/>
        <w:tc>
          <w:tcPr>
            <w:tcW w:w="131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04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5" w:type="dxa"/>
            <w:tcBorders/>
            <w:shd w:fill="FFFFFF" w:val="clear"/>
            <w:vAlign w:val="center"/>
          </w:tcPr>
          <w:p>
            <w:pPr>
              <w:pStyle w:val="TableContents"/>
              <w:bidi w:val="0"/>
              <w:spacing w:before="0" w:after="283"/>
              <w:ind w:left="0" w:right="0" w:firstLine="180"/>
              <w:jc w:val="center"/>
              <w:rPr>
                <w:caps w:val="false"/>
                <w:smallCaps w:val="false"/>
              </w:rPr>
            </w:pPr>
            <w:r>
              <w:rPr>
                <w:caps w:val="false"/>
                <w:smallCaps w:val="false"/>
              </w:rPr>
              <w:t> </w:t>
            </w:r>
          </w:p>
        </w:tc>
      </w:tr>
      <w:tr>
        <w:trPr/>
        <w:tc>
          <w:tcPr>
            <w:tcW w:w="1316"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7.01</w:t>
            </w:r>
          </w:p>
        </w:tc>
        <w:tc>
          <w:tcPr>
            <w:tcW w:w="7043" w:type="dxa"/>
            <w:tcBorders/>
            <w:shd w:fill="CCEEFF" w:val="clear"/>
            <w:vAlign w:val="center"/>
          </w:tcPr>
          <w:p>
            <w:pPr>
              <w:pStyle w:val="TableContents"/>
              <w:bidi w:val="0"/>
              <w:spacing w:before="0" w:after="283"/>
              <w:jc w:val="left"/>
              <w:rPr/>
            </w:pPr>
            <w:hyperlink w:anchor="a_042">
              <w:r>
                <w:rPr>
                  <w:rStyle w:val="InternetLink"/>
                  <w:rFonts w:ascii="Times New Roman;Times;Serif" w:hAnsi="Times New Roman;Times;Serif"/>
                  <w:b w:val="false"/>
                  <w:i w:val="false"/>
                  <w:caps w:val="false"/>
                  <w:smallCaps w:val="false"/>
                  <w:sz w:val="20"/>
                </w:rPr>
                <w:t>Certain Duties and Responsibilities of Trustee</w:t>
              </w:r>
            </w:hyperlink>
          </w:p>
        </w:tc>
        <w:tc>
          <w:tcPr>
            <w:tcW w:w="605" w:type="dxa"/>
            <w:tcBorders/>
            <w:shd w:fill="CCEEFF" w:val="clear"/>
            <w:vAlign w:val="center"/>
          </w:tcPr>
          <w:p>
            <w:pPr>
              <w:pStyle w:val="TableContents"/>
              <w:bidi w:val="0"/>
              <w:spacing w:before="0" w:after="283"/>
              <w:ind w:left="0" w:right="0" w:firstLine="18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26</w:t>
            </w:r>
          </w:p>
        </w:tc>
      </w:tr>
      <w:tr>
        <w:trPr/>
        <w:tc>
          <w:tcPr>
            <w:tcW w:w="131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04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5" w:type="dxa"/>
            <w:tcBorders/>
            <w:shd w:fill="FFFFFF" w:val="clear"/>
            <w:vAlign w:val="center"/>
          </w:tcPr>
          <w:p>
            <w:pPr>
              <w:pStyle w:val="TableContents"/>
              <w:bidi w:val="0"/>
              <w:spacing w:before="0" w:after="283"/>
              <w:ind w:left="0" w:right="0" w:firstLine="180"/>
              <w:jc w:val="center"/>
              <w:rPr>
                <w:caps w:val="false"/>
                <w:smallCaps w:val="false"/>
              </w:rPr>
            </w:pPr>
            <w:r>
              <w:rPr>
                <w:caps w:val="false"/>
                <w:smallCaps w:val="false"/>
              </w:rPr>
              <w:t> </w:t>
            </w:r>
          </w:p>
        </w:tc>
      </w:tr>
      <w:tr>
        <w:trPr/>
        <w:tc>
          <w:tcPr>
            <w:tcW w:w="1316"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7.02</w:t>
            </w:r>
          </w:p>
        </w:tc>
        <w:tc>
          <w:tcPr>
            <w:tcW w:w="7043" w:type="dxa"/>
            <w:tcBorders/>
            <w:shd w:fill="CCEEFF" w:val="clear"/>
            <w:vAlign w:val="center"/>
          </w:tcPr>
          <w:p>
            <w:pPr>
              <w:pStyle w:val="TableContents"/>
              <w:bidi w:val="0"/>
              <w:spacing w:before="0" w:after="283"/>
              <w:jc w:val="left"/>
              <w:rPr/>
            </w:pPr>
            <w:hyperlink w:anchor="a_043">
              <w:r>
                <w:rPr>
                  <w:rStyle w:val="InternetLink"/>
                  <w:rFonts w:ascii="Times New Roman;Times;Serif" w:hAnsi="Times New Roman;Times;Serif"/>
                  <w:b w:val="false"/>
                  <w:i w:val="false"/>
                  <w:caps w:val="false"/>
                  <w:smallCaps w:val="false"/>
                  <w:sz w:val="20"/>
                </w:rPr>
                <w:t>Certain Rights of Trustee</w:t>
              </w:r>
            </w:hyperlink>
          </w:p>
        </w:tc>
        <w:tc>
          <w:tcPr>
            <w:tcW w:w="605" w:type="dxa"/>
            <w:tcBorders/>
            <w:shd w:fill="CCEEFF" w:val="clear"/>
            <w:vAlign w:val="center"/>
          </w:tcPr>
          <w:p>
            <w:pPr>
              <w:pStyle w:val="TableContents"/>
              <w:bidi w:val="0"/>
              <w:spacing w:before="0" w:after="283"/>
              <w:ind w:left="0" w:right="0" w:firstLine="18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27</w:t>
            </w:r>
          </w:p>
        </w:tc>
      </w:tr>
      <w:tr>
        <w:trPr/>
        <w:tc>
          <w:tcPr>
            <w:tcW w:w="131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04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5" w:type="dxa"/>
            <w:tcBorders/>
            <w:shd w:fill="FFFFFF" w:val="clear"/>
            <w:vAlign w:val="center"/>
          </w:tcPr>
          <w:p>
            <w:pPr>
              <w:pStyle w:val="TableContents"/>
              <w:bidi w:val="0"/>
              <w:spacing w:before="0" w:after="283"/>
              <w:ind w:left="0" w:right="0" w:firstLine="180"/>
              <w:jc w:val="center"/>
              <w:rPr>
                <w:caps w:val="false"/>
                <w:smallCaps w:val="false"/>
              </w:rPr>
            </w:pPr>
            <w:r>
              <w:rPr>
                <w:caps w:val="false"/>
                <w:smallCaps w:val="false"/>
              </w:rPr>
              <w:t> </w:t>
            </w:r>
          </w:p>
        </w:tc>
      </w:tr>
      <w:tr>
        <w:trPr/>
        <w:tc>
          <w:tcPr>
            <w:tcW w:w="1316"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7.03</w:t>
            </w:r>
          </w:p>
        </w:tc>
        <w:tc>
          <w:tcPr>
            <w:tcW w:w="7043" w:type="dxa"/>
            <w:tcBorders/>
            <w:shd w:fill="CCEEFF" w:val="clear"/>
            <w:vAlign w:val="center"/>
          </w:tcPr>
          <w:p>
            <w:pPr>
              <w:pStyle w:val="TableContents"/>
              <w:bidi w:val="0"/>
              <w:spacing w:before="0" w:after="283"/>
              <w:jc w:val="left"/>
              <w:rPr/>
            </w:pPr>
            <w:hyperlink w:anchor="a_044">
              <w:r>
                <w:rPr>
                  <w:rStyle w:val="InternetLink"/>
                  <w:rFonts w:ascii="Times New Roman;Times;Serif" w:hAnsi="Times New Roman;Times;Serif"/>
                  <w:b w:val="false"/>
                  <w:i w:val="false"/>
                  <w:caps w:val="false"/>
                  <w:smallCaps w:val="false"/>
                  <w:sz w:val="20"/>
                </w:rPr>
                <w:t>Trustee Not Responsible for Recitals or Issuance or Securities</w:t>
              </w:r>
            </w:hyperlink>
          </w:p>
        </w:tc>
        <w:tc>
          <w:tcPr>
            <w:tcW w:w="60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29</w:t>
            </w:r>
          </w:p>
        </w:tc>
      </w:tr>
    </w:tbl>
    <w:p>
      <w:pPr>
        <w:pStyle w:val="TextBody"/>
        <w:bidi w:val="0"/>
        <w:jc w:val="both"/>
        <w:rPr>
          <w:caps w:val="false"/>
          <w:smallCaps w:val="false"/>
        </w:rPr>
      </w:pPr>
      <w:r>
        <w:rPr>
          <w:caps w:val="false"/>
          <w:smallCaps w:val="false"/>
        </w:rPr>
        <w:t> </w:t>
      </w:r>
    </w:p>
    <w:p>
      <w:pPr>
        <w:pStyle w:val="TextBody"/>
        <w:bidi w:val="0"/>
        <w:spacing w:before="0" w:after="0"/>
        <w:jc w:val="center"/>
        <w:rPr>
          <w:bdr w:val="single" w:sz="12" w:space="1" w:color="000000"/>
        </w:rPr>
      </w:pPr>
      <w:r>
        <w:rPr>
          <w:bdr w:val="single" w:sz="12" w:space="1" w:color="000000"/>
        </w:rPr>
        <w:t>ii</w:t>
      </w:r>
    </w:p>
    <w:p>
      <w:pPr>
        <w:pStyle w:val="TextBody"/>
        <w:bidi w:val="0"/>
        <w:spacing w:before="0" w:after="0"/>
        <w:ind w:left="0" w:right="0" w:hanging="0"/>
        <w:jc w:val="left"/>
        <w:rPr/>
      </w:pPr>
      <w:r>
        <w:rPr/>
        <w:t> </w:t>
      </w:r>
    </w:p>
    <w:p>
      <w:pPr>
        <w:pStyle w:val="TextBody"/>
        <w:bidi w:val="0"/>
        <w:jc w:val="both"/>
        <w:rPr>
          <w:caps w:val="false"/>
          <w:smallCaps w:val="false"/>
        </w:rPr>
      </w:pPr>
      <w:r>
        <w:rPr>
          <w:caps w:val="false"/>
          <w:smallCaps w:val="false"/>
        </w:rPr>
        <w:t> </w:t>
      </w:r>
    </w:p>
    <w:p>
      <w:pPr>
        <w:pStyle w:val="TextBody"/>
        <w:bidi w:val="0"/>
        <w:jc w:val="center"/>
        <w:rPr>
          <w:rFonts w:ascii="Times New Roman;Times;Serif" w:hAnsi="Times New Roman;Times;Serif"/>
          <w:b w:val="false"/>
          <w:i w:val="false"/>
          <w:caps/>
          <w:sz w:val="20"/>
        </w:rPr>
      </w:pPr>
      <w:r>
        <w:rPr>
          <w:rFonts w:ascii="Times New Roman;Times;Serif" w:hAnsi="Times New Roman;Times;Serif"/>
          <w:b w:val="false"/>
          <w:i w:val="false"/>
          <w:caps/>
          <w:sz w:val="20"/>
        </w:rPr>
        <w:t>TABLE OF CONTENTS</w:t>
      </w:r>
    </w:p>
    <w:p>
      <w:pPr>
        <w:pStyle w:val="TextBody"/>
        <w:bidi w:val="0"/>
        <w:jc w:val="both"/>
        <w:rPr>
          <w:caps w:val="false"/>
          <w:smallCaps w:val="false"/>
        </w:rPr>
      </w:pPr>
      <w:r>
        <w:rPr>
          <w:caps w:val="false"/>
          <w:smallCaps w:val="false"/>
        </w:rPr>
        <w:t> </w:t>
      </w:r>
    </w:p>
    <w:tbl>
      <w:tblPr>
        <w:tblW w:w="6975" w:type="dxa"/>
        <w:jc w:val="left"/>
        <w:tblInd w:w="0" w:type="dxa"/>
        <w:tblLayout w:type="fixed"/>
        <w:tblCellMar>
          <w:top w:w="0" w:type="dxa"/>
          <w:left w:w="0" w:type="dxa"/>
          <w:bottom w:w="0" w:type="dxa"/>
          <w:right w:w="0" w:type="dxa"/>
        </w:tblCellMar>
      </w:tblPr>
      <w:tblGrid>
        <w:gridCol w:w="1055"/>
        <w:gridCol w:w="5315"/>
        <w:gridCol w:w="605"/>
      </w:tblGrid>
      <w:tr>
        <w:trPr/>
        <w:tc>
          <w:tcPr>
            <w:tcW w:w="1055" w:type="dxa"/>
            <w:tcBorders/>
            <w:vAlign w:val="center"/>
          </w:tcPr>
          <w:p>
            <w:pPr>
              <w:pStyle w:val="TableContents"/>
              <w:bidi w:val="0"/>
              <w:spacing w:before="0" w:after="283"/>
              <w:ind w:left="0" w:right="0" w:firstLine="180"/>
              <w:jc w:val="right"/>
              <w:rPr>
                <w:caps w:val="false"/>
                <w:smallCaps w:val="false"/>
              </w:rPr>
            </w:pPr>
            <w:r>
              <w:rPr>
                <w:caps w:val="false"/>
                <w:smallCaps w:val="false"/>
              </w:rPr>
              <w:t> </w:t>
            </w:r>
          </w:p>
        </w:tc>
        <w:tc>
          <w:tcPr>
            <w:tcW w:w="5315" w:type="dxa"/>
            <w:tcBorders/>
            <w:vAlign w:val="center"/>
          </w:tcPr>
          <w:p>
            <w:pPr>
              <w:pStyle w:val="TableContents"/>
              <w:bidi w:val="0"/>
              <w:spacing w:before="0" w:after="283"/>
              <w:jc w:val="right"/>
              <w:rPr>
                <w:caps w:val="false"/>
                <w:smallCaps w:val="false"/>
              </w:rPr>
            </w:pPr>
            <w:r>
              <w:rPr>
                <w:caps w:val="false"/>
                <w:smallCaps w:val="false"/>
              </w:rPr>
              <w:t> </w:t>
            </w:r>
          </w:p>
        </w:tc>
        <w:tc>
          <w:tcPr>
            <w:tcW w:w="605" w:type="dxa"/>
            <w:tcBorders>
              <w:bottom w:val="single" w:sz="12" w:space="0" w:color="000000"/>
            </w:tcBorders>
            <w:tcMar>
              <w:bottom w:w="28" w:type="dxa"/>
            </w:tcMar>
            <w:vAlign w:val="center"/>
          </w:tcPr>
          <w:p>
            <w:pPr>
              <w:pStyle w:val="TableContents"/>
              <w:bidi w:val="0"/>
              <w:spacing w:before="0" w:after="283"/>
              <w:ind w:left="0" w:right="0" w:firstLine="18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Page</w:t>
            </w:r>
          </w:p>
        </w:tc>
      </w:tr>
      <w:tr>
        <w:trPr/>
        <w:tc>
          <w:tcPr>
            <w:tcW w:w="105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31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5" w:type="dxa"/>
            <w:tcBorders/>
            <w:shd w:fill="FFFFFF" w:val="clear"/>
            <w:vAlign w:val="center"/>
          </w:tcPr>
          <w:p>
            <w:pPr>
              <w:pStyle w:val="TableContents"/>
              <w:bidi w:val="0"/>
              <w:spacing w:before="0" w:after="283"/>
              <w:ind w:left="0" w:right="0" w:firstLine="180"/>
              <w:jc w:val="center"/>
              <w:rPr>
                <w:caps w:val="false"/>
                <w:smallCaps w:val="false"/>
              </w:rPr>
            </w:pPr>
            <w:r>
              <w:rPr>
                <w:caps w:val="false"/>
                <w:smallCaps w:val="false"/>
              </w:rPr>
              <w:t> </w:t>
            </w:r>
          </w:p>
        </w:tc>
      </w:tr>
      <w:tr>
        <w:trPr/>
        <w:tc>
          <w:tcPr>
            <w:tcW w:w="105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7.04</w:t>
            </w:r>
          </w:p>
        </w:tc>
        <w:tc>
          <w:tcPr>
            <w:tcW w:w="5315" w:type="dxa"/>
            <w:tcBorders/>
            <w:shd w:fill="CCEEFF" w:val="clear"/>
            <w:vAlign w:val="center"/>
          </w:tcPr>
          <w:p>
            <w:pPr>
              <w:pStyle w:val="TableContents"/>
              <w:bidi w:val="0"/>
              <w:spacing w:before="0" w:after="283"/>
              <w:jc w:val="left"/>
              <w:rPr/>
            </w:pPr>
            <w:hyperlink w:anchor="a_045">
              <w:r>
                <w:rPr>
                  <w:rStyle w:val="InternetLink"/>
                  <w:rFonts w:ascii="Times New Roman;Times;Serif" w:hAnsi="Times New Roman;Times;Serif"/>
                  <w:b w:val="false"/>
                  <w:i w:val="false"/>
                  <w:caps w:val="false"/>
                  <w:smallCaps w:val="false"/>
                  <w:sz w:val="20"/>
                </w:rPr>
                <w:t>May Hold Securities</w:t>
              </w:r>
            </w:hyperlink>
          </w:p>
        </w:tc>
        <w:tc>
          <w:tcPr>
            <w:tcW w:w="605" w:type="dxa"/>
            <w:tcBorders/>
            <w:shd w:fill="CCEEFF" w:val="clear"/>
            <w:vAlign w:val="center"/>
          </w:tcPr>
          <w:p>
            <w:pPr>
              <w:pStyle w:val="TableContents"/>
              <w:bidi w:val="0"/>
              <w:spacing w:before="0" w:after="283"/>
              <w:ind w:left="0" w:right="0" w:firstLine="18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29</w:t>
            </w:r>
          </w:p>
        </w:tc>
      </w:tr>
      <w:tr>
        <w:trPr/>
        <w:tc>
          <w:tcPr>
            <w:tcW w:w="105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31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5" w:type="dxa"/>
            <w:tcBorders/>
            <w:shd w:fill="FFFFFF" w:val="clear"/>
            <w:vAlign w:val="center"/>
          </w:tcPr>
          <w:p>
            <w:pPr>
              <w:pStyle w:val="TableContents"/>
              <w:bidi w:val="0"/>
              <w:spacing w:before="0" w:after="283"/>
              <w:ind w:left="0" w:right="0" w:firstLine="180"/>
              <w:jc w:val="center"/>
              <w:rPr>
                <w:caps w:val="false"/>
                <w:smallCaps w:val="false"/>
              </w:rPr>
            </w:pPr>
            <w:r>
              <w:rPr>
                <w:caps w:val="false"/>
                <w:smallCaps w:val="false"/>
              </w:rPr>
              <w:t> </w:t>
            </w:r>
          </w:p>
        </w:tc>
      </w:tr>
      <w:tr>
        <w:trPr/>
        <w:tc>
          <w:tcPr>
            <w:tcW w:w="105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7.05</w:t>
            </w:r>
          </w:p>
        </w:tc>
        <w:tc>
          <w:tcPr>
            <w:tcW w:w="5315" w:type="dxa"/>
            <w:tcBorders/>
            <w:shd w:fill="CCEEFF" w:val="clear"/>
            <w:vAlign w:val="center"/>
          </w:tcPr>
          <w:p>
            <w:pPr>
              <w:pStyle w:val="TableContents"/>
              <w:bidi w:val="0"/>
              <w:spacing w:before="0" w:after="283"/>
              <w:jc w:val="left"/>
              <w:rPr/>
            </w:pPr>
            <w:hyperlink w:anchor="a_046">
              <w:r>
                <w:rPr>
                  <w:rStyle w:val="InternetLink"/>
                  <w:rFonts w:ascii="Times New Roman;Times;Serif" w:hAnsi="Times New Roman;Times;Serif"/>
                  <w:b w:val="false"/>
                  <w:i w:val="false"/>
                  <w:caps w:val="false"/>
                  <w:smallCaps w:val="false"/>
                  <w:sz w:val="20"/>
                </w:rPr>
                <w:t>Moneys Held in Trust</w:t>
              </w:r>
            </w:hyperlink>
          </w:p>
        </w:tc>
        <w:tc>
          <w:tcPr>
            <w:tcW w:w="605" w:type="dxa"/>
            <w:tcBorders/>
            <w:shd w:fill="CCEEFF" w:val="clear"/>
            <w:vAlign w:val="center"/>
          </w:tcPr>
          <w:p>
            <w:pPr>
              <w:pStyle w:val="TableContents"/>
              <w:bidi w:val="0"/>
              <w:spacing w:before="0" w:after="283"/>
              <w:ind w:left="0" w:right="0" w:firstLine="18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29</w:t>
            </w:r>
          </w:p>
        </w:tc>
      </w:tr>
      <w:tr>
        <w:trPr/>
        <w:tc>
          <w:tcPr>
            <w:tcW w:w="105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31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5" w:type="dxa"/>
            <w:tcBorders/>
            <w:shd w:fill="FFFFFF" w:val="clear"/>
            <w:vAlign w:val="center"/>
          </w:tcPr>
          <w:p>
            <w:pPr>
              <w:pStyle w:val="TableContents"/>
              <w:bidi w:val="0"/>
              <w:spacing w:before="0" w:after="283"/>
              <w:ind w:left="0" w:right="0" w:firstLine="180"/>
              <w:jc w:val="center"/>
              <w:rPr>
                <w:caps w:val="false"/>
                <w:smallCaps w:val="false"/>
              </w:rPr>
            </w:pPr>
            <w:r>
              <w:rPr>
                <w:caps w:val="false"/>
                <w:smallCaps w:val="false"/>
              </w:rPr>
              <w:t> </w:t>
            </w:r>
          </w:p>
        </w:tc>
      </w:tr>
      <w:tr>
        <w:trPr/>
        <w:tc>
          <w:tcPr>
            <w:tcW w:w="105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7.06</w:t>
            </w:r>
          </w:p>
        </w:tc>
        <w:tc>
          <w:tcPr>
            <w:tcW w:w="5315" w:type="dxa"/>
            <w:tcBorders/>
            <w:shd w:fill="CCEEFF" w:val="clear"/>
            <w:vAlign w:val="center"/>
          </w:tcPr>
          <w:p>
            <w:pPr>
              <w:pStyle w:val="TableContents"/>
              <w:bidi w:val="0"/>
              <w:spacing w:before="0" w:after="283"/>
              <w:jc w:val="left"/>
              <w:rPr/>
            </w:pPr>
            <w:hyperlink w:anchor="a_047">
              <w:r>
                <w:rPr>
                  <w:rStyle w:val="InternetLink"/>
                  <w:rFonts w:ascii="Times New Roman;Times;Serif" w:hAnsi="Times New Roman;Times;Serif"/>
                  <w:b w:val="false"/>
                  <w:i w:val="false"/>
                  <w:caps w:val="false"/>
                  <w:smallCaps w:val="false"/>
                  <w:sz w:val="20"/>
                </w:rPr>
                <w:t>Compensation and Reimbursement</w:t>
              </w:r>
            </w:hyperlink>
          </w:p>
        </w:tc>
        <w:tc>
          <w:tcPr>
            <w:tcW w:w="605" w:type="dxa"/>
            <w:tcBorders/>
            <w:shd w:fill="CCEEFF" w:val="clear"/>
            <w:vAlign w:val="center"/>
          </w:tcPr>
          <w:p>
            <w:pPr>
              <w:pStyle w:val="TableContents"/>
              <w:bidi w:val="0"/>
              <w:spacing w:before="0" w:after="283"/>
              <w:ind w:left="0" w:right="0" w:firstLine="18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29</w:t>
            </w:r>
          </w:p>
        </w:tc>
      </w:tr>
      <w:tr>
        <w:trPr/>
        <w:tc>
          <w:tcPr>
            <w:tcW w:w="105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31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5" w:type="dxa"/>
            <w:tcBorders/>
            <w:shd w:fill="FFFFFF" w:val="clear"/>
            <w:vAlign w:val="center"/>
          </w:tcPr>
          <w:p>
            <w:pPr>
              <w:pStyle w:val="TableContents"/>
              <w:bidi w:val="0"/>
              <w:spacing w:before="0" w:after="283"/>
              <w:ind w:left="0" w:right="0" w:firstLine="180"/>
              <w:jc w:val="center"/>
              <w:rPr>
                <w:caps w:val="false"/>
                <w:smallCaps w:val="false"/>
              </w:rPr>
            </w:pPr>
            <w:r>
              <w:rPr>
                <w:caps w:val="false"/>
                <w:smallCaps w:val="false"/>
              </w:rPr>
              <w:t> </w:t>
            </w:r>
          </w:p>
        </w:tc>
      </w:tr>
      <w:tr>
        <w:trPr/>
        <w:tc>
          <w:tcPr>
            <w:tcW w:w="105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7.07</w:t>
            </w:r>
          </w:p>
        </w:tc>
        <w:tc>
          <w:tcPr>
            <w:tcW w:w="5315" w:type="dxa"/>
            <w:tcBorders/>
            <w:shd w:fill="CCEEFF" w:val="clear"/>
            <w:vAlign w:val="center"/>
          </w:tcPr>
          <w:p>
            <w:pPr>
              <w:pStyle w:val="TableContents"/>
              <w:bidi w:val="0"/>
              <w:spacing w:before="0" w:after="283"/>
              <w:jc w:val="left"/>
              <w:rPr/>
            </w:pPr>
            <w:hyperlink w:anchor="a_048">
              <w:r>
                <w:rPr>
                  <w:rStyle w:val="InternetLink"/>
                  <w:rFonts w:ascii="Times New Roman;Times;Serif" w:hAnsi="Times New Roman;Times;Serif"/>
                  <w:b w:val="false"/>
                  <w:i w:val="false"/>
                  <w:caps w:val="false"/>
                  <w:smallCaps w:val="false"/>
                  <w:sz w:val="20"/>
                </w:rPr>
                <w:t>Reliance on Officers’ Certificate</w:t>
              </w:r>
            </w:hyperlink>
          </w:p>
        </w:tc>
        <w:tc>
          <w:tcPr>
            <w:tcW w:w="605" w:type="dxa"/>
            <w:tcBorders/>
            <w:shd w:fill="CCEEFF" w:val="clear"/>
            <w:vAlign w:val="center"/>
          </w:tcPr>
          <w:p>
            <w:pPr>
              <w:pStyle w:val="TableContents"/>
              <w:bidi w:val="0"/>
              <w:spacing w:before="0" w:after="283"/>
              <w:ind w:left="0" w:right="0" w:firstLine="18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30</w:t>
            </w:r>
          </w:p>
        </w:tc>
      </w:tr>
      <w:tr>
        <w:trPr/>
        <w:tc>
          <w:tcPr>
            <w:tcW w:w="105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31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5" w:type="dxa"/>
            <w:tcBorders/>
            <w:shd w:fill="FFFFFF" w:val="clear"/>
            <w:vAlign w:val="center"/>
          </w:tcPr>
          <w:p>
            <w:pPr>
              <w:pStyle w:val="TableContents"/>
              <w:bidi w:val="0"/>
              <w:spacing w:before="0" w:after="283"/>
              <w:ind w:left="0" w:right="0" w:firstLine="180"/>
              <w:jc w:val="center"/>
              <w:rPr>
                <w:caps w:val="false"/>
                <w:smallCaps w:val="false"/>
              </w:rPr>
            </w:pPr>
            <w:r>
              <w:rPr>
                <w:caps w:val="false"/>
                <w:smallCaps w:val="false"/>
              </w:rPr>
              <w:t> </w:t>
            </w:r>
          </w:p>
        </w:tc>
      </w:tr>
      <w:tr>
        <w:trPr/>
        <w:tc>
          <w:tcPr>
            <w:tcW w:w="105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7.08</w:t>
            </w:r>
          </w:p>
        </w:tc>
        <w:tc>
          <w:tcPr>
            <w:tcW w:w="5315" w:type="dxa"/>
            <w:tcBorders/>
            <w:shd w:fill="CCEEFF" w:val="clear"/>
            <w:vAlign w:val="center"/>
          </w:tcPr>
          <w:p>
            <w:pPr>
              <w:pStyle w:val="TableContents"/>
              <w:bidi w:val="0"/>
              <w:spacing w:before="0" w:after="283"/>
              <w:jc w:val="left"/>
              <w:rPr/>
            </w:pPr>
            <w:hyperlink w:anchor="a_049">
              <w:r>
                <w:rPr>
                  <w:rStyle w:val="InternetLink"/>
                  <w:rFonts w:ascii="Times New Roman;Times;Serif" w:hAnsi="Times New Roman;Times;Serif"/>
                  <w:b w:val="false"/>
                  <w:i w:val="false"/>
                  <w:caps w:val="false"/>
                  <w:smallCaps w:val="false"/>
                  <w:sz w:val="20"/>
                </w:rPr>
                <w:t>Disqualification; Conflicting Interests</w:t>
              </w:r>
            </w:hyperlink>
          </w:p>
        </w:tc>
        <w:tc>
          <w:tcPr>
            <w:tcW w:w="605" w:type="dxa"/>
            <w:tcBorders/>
            <w:shd w:fill="CCEEFF" w:val="clear"/>
            <w:vAlign w:val="center"/>
          </w:tcPr>
          <w:p>
            <w:pPr>
              <w:pStyle w:val="TableContents"/>
              <w:bidi w:val="0"/>
              <w:spacing w:before="0" w:after="283"/>
              <w:ind w:left="0" w:right="0" w:firstLine="18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30</w:t>
            </w:r>
          </w:p>
        </w:tc>
      </w:tr>
      <w:tr>
        <w:trPr/>
        <w:tc>
          <w:tcPr>
            <w:tcW w:w="105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31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5" w:type="dxa"/>
            <w:tcBorders/>
            <w:shd w:fill="FFFFFF" w:val="clear"/>
            <w:vAlign w:val="center"/>
          </w:tcPr>
          <w:p>
            <w:pPr>
              <w:pStyle w:val="TableContents"/>
              <w:bidi w:val="0"/>
              <w:spacing w:before="0" w:after="283"/>
              <w:ind w:left="0" w:right="0" w:firstLine="180"/>
              <w:jc w:val="center"/>
              <w:rPr>
                <w:caps w:val="false"/>
                <w:smallCaps w:val="false"/>
              </w:rPr>
            </w:pPr>
            <w:r>
              <w:rPr>
                <w:caps w:val="false"/>
                <w:smallCaps w:val="false"/>
              </w:rPr>
              <w:t> </w:t>
            </w:r>
          </w:p>
        </w:tc>
      </w:tr>
      <w:tr>
        <w:trPr/>
        <w:tc>
          <w:tcPr>
            <w:tcW w:w="105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7.09</w:t>
            </w:r>
          </w:p>
        </w:tc>
        <w:tc>
          <w:tcPr>
            <w:tcW w:w="5315" w:type="dxa"/>
            <w:tcBorders/>
            <w:shd w:fill="CCEEFF" w:val="clear"/>
            <w:vAlign w:val="center"/>
          </w:tcPr>
          <w:p>
            <w:pPr>
              <w:pStyle w:val="TableContents"/>
              <w:bidi w:val="0"/>
              <w:spacing w:before="0" w:after="283"/>
              <w:jc w:val="left"/>
              <w:rPr/>
            </w:pPr>
            <w:hyperlink w:anchor="a_050">
              <w:r>
                <w:rPr>
                  <w:rStyle w:val="InternetLink"/>
                  <w:rFonts w:ascii="Times New Roman;Times;Serif" w:hAnsi="Times New Roman;Times;Serif"/>
                  <w:b w:val="false"/>
                  <w:i w:val="false"/>
                  <w:caps w:val="false"/>
                  <w:smallCaps w:val="false"/>
                  <w:sz w:val="20"/>
                </w:rPr>
                <w:t>Corporate Trustee Required; Eligibility</w:t>
              </w:r>
            </w:hyperlink>
          </w:p>
        </w:tc>
        <w:tc>
          <w:tcPr>
            <w:tcW w:w="605" w:type="dxa"/>
            <w:tcBorders/>
            <w:shd w:fill="CCEEFF" w:val="clear"/>
            <w:vAlign w:val="center"/>
          </w:tcPr>
          <w:p>
            <w:pPr>
              <w:pStyle w:val="TableContents"/>
              <w:bidi w:val="0"/>
              <w:spacing w:before="0" w:after="283"/>
              <w:ind w:left="0" w:right="0" w:firstLine="18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30</w:t>
            </w:r>
          </w:p>
        </w:tc>
      </w:tr>
      <w:tr>
        <w:trPr/>
        <w:tc>
          <w:tcPr>
            <w:tcW w:w="105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31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5" w:type="dxa"/>
            <w:tcBorders/>
            <w:shd w:fill="FFFFFF" w:val="clear"/>
            <w:vAlign w:val="center"/>
          </w:tcPr>
          <w:p>
            <w:pPr>
              <w:pStyle w:val="TableContents"/>
              <w:bidi w:val="0"/>
              <w:spacing w:before="0" w:after="283"/>
              <w:ind w:left="0" w:right="0" w:firstLine="180"/>
              <w:jc w:val="center"/>
              <w:rPr>
                <w:caps w:val="false"/>
                <w:smallCaps w:val="false"/>
              </w:rPr>
            </w:pPr>
            <w:r>
              <w:rPr>
                <w:caps w:val="false"/>
                <w:smallCaps w:val="false"/>
              </w:rPr>
              <w:t> </w:t>
            </w:r>
          </w:p>
        </w:tc>
      </w:tr>
      <w:tr>
        <w:trPr/>
        <w:tc>
          <w:tcPr>
            <w:tcW w:w="105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7.10</w:t>
            </w:r>
          </w:p>
        </w:tc>
        <w:tc>
          <w:tcPr>
            <w:tcW w:w="5315" w:type="dxa"/>
            <w:tcBorders/>
            <w:shd w:fill="CCEEFF" w:val="clear"/>
            <w:vAlign w:val="center"/>
          </w:tcPr>
          <w:p>
            <w:pPr>
              <w:pStyle w:val="TableContents"/>
              <w:bidi w:val="0"/>
              <w:spacing w:before="0" w:after="283"/>
              <w:jc w:val="left"/>
              <w:rPr/>
            </w:pPr>
            <w:hyperlink w:anchor="a_051">
              <w:r>
                <w:rPr>
                  <w:rStyle w:val="InternetLink"/>
                  <w:rFonts w:ascii="Times New Roman;Times;Serif" w:hAnsi="Times New Roman;Times;Serif"/>
                  <w:b w:val="false"/>
                  <w:i w:val="false"/>
                  <w:caps w:val="false"/>
                  <w:smallCaps w:val="false"/>
                  <w:sz w:val="20"/>
                </w:rPr>
                <w:t>Resignation and Removal; Appointment of Successor</w:t>
              </w:r>
            </w:hyperlink>
          </w:p>
        </w:tc>
        <w:tc>
          <w:tcPr>
            <w:tcW w:w="605" w:type="dxa"/>
            <w:tcBorders/>
            <w:shd w:fill="CCEEFF" w:val="clear"/>
            <w:vAlign w:val="center"/>
          </w:tcPr>
          <w:p>
            <w:pPr>
              <w:pStyle w:val="TableContents"/>
              <w:bidi w:val="0"/>
              <w:spacing w:before="0" w:after="283"/>
              <w:ind w:left="0" w:right="0" w:firstLine="18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w:t>
            </w:r>
          </w:p>
        </w:tc>
      </w:tr>
      <w:tr>
        <w:trPr/>
        <w:tc>
          <w:tcPr>
            <w:tcW w:w="105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31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5" w:type="dxa"/>
            <w:tcBorders/>
            <w:shd w:fill="FFFFFF" w:val="clear"/>
            <w:vAlign w:val="center"/>
          </w:tcPr>
          <w:p>
            <w:pPr>
              <w:pStyle w:val="TableContents"/>
              <w:bidi w:val="0"/>
              <w:spacing w:before="0" w:after="283"/>
              <w:ind w:left="0" w:right="0" w:firstLine="180"/>
              <w:jc w:val="center"/>
              <w:rPr>
                <w:caps w:val="false"/>
                <w:smallCaps w:val="false"/>
              </w:rPr>
            </w:pPr>
            <w:r>
              <w:rPr>
                <w:caps w:val="false"/>
                <w:smallCaps w:val="false"/>
              </w:rPr>
              <w:t> </w:t>
            </w:r>
          </w:p>
        </w:tc>
      </w:tr>
      <w:tr>
        <w:trPr/>
        <w:tc>
          <w:tcPr>
            <w:tcW w:w="105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7.11</w:t>
            </w:r>
          </w:p>
        </w:tc>
        <w:tc>
          <w:tcPr>
            <w:tcW w:w="5315" w:type="dxa"/>
            <w:tcBorders/>
            <w:shd w:fill="CCEEFF" w:val="clear"/>
            <w:vAlign w:val="center"/>
          </w:tcPr>
          <w:p>
            <w:pPr>
              <w:pStyle w:val="TableContents"/>
              <w:bidi w:val="0"/>
              <w:spacing w:before="0" w:after="283"/>
              <w:jc w:val="left"/>
              <w:rPr/>
            </w:pPr>
            <w:hyperlink w:anchor="a_052">
              <w:r>
                <w:rPr>
                  <w:rStyle w:val="InternetLink"/>
                  <w:rFonts w:ascii="Times New Roman;Times;Serif" w:hAnsi="Times New Roman;Times;Serif"/>
                  <w:b w:val="false"/>
                  <w:i w:val="false"/>
                  <w:caps w:val="false"/>
                  <w:smallCaps w:val="false"/>
                  <w:sz w:val="20"/>
                </w:rPr>
                <w:t>Acceptance of Appointment By Successor</w:t>
              </w:r>
            </w:hyperlink>
          </w:p>
        </w:tc>
        <w:tc>
          <w:tcPr>
            <w:tcW w:w="605" w:type="dxa"/>
            <w:tcBorders/>
            <w:shd w:fill="CCEEFF" w:val="clear"/>
            <w:vAlign w:val="center"/>
          </w:tcPr>
          <w:p>
            <w:pPr>
              <w:pStyle w:val="TableContents"/>
              <w:bidi w:val="0"/>
              <w:spacing w:before="0" w:after="283"/>
              <w:ind w:left="0" w:right="0" w:firstLine="18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32</w:t>
            </w:r>
          </w:p>
        </w:tc>
      </w:tr>
      <w:tr>
        <w:trPr/>
        <w:tc>
          <w:tcPr>
            <w:tcW w:w="105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31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5" w:type="dxa"/>
            <w:tcBorders/>
            <w:shd w:fill="FFFFFF" w:val="clear"/>
            <w:vAlign w:val="center"/>
          </w:tcPr>
          <w:p>
            <w:pPr>
              <w:pStyle w:val="TableContents"/>
              <w:bidi w:val="0"/>
              <w:spacing w:before="0" w:after="283"/>
              <w:ind w:left="0" w:right="0" w:firstLine="180"/>
              <w:jc w:val="center"/>
              <w:rPr>
                <w:caps w:val="false"/>
                <w:smallCaps w:val="false"/>
              </w:rPr>
            </w:pPr>
            <w:r>
              <w:rPr>
                <w:caps w:val="false"/>
                <w:smallCaps w:val="false"/>
              </w:rPr>
              <w:t> </w:t>
            </w:r>
          </w:p>
        </w:tc>
      </w:tr>
      <w:tr>
        <w:trPr/>
        <w:tc>
          <w:tcPr>
            <w:tcW w:w="105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7.12</w:t>
            </w:r>
          </w:p>
        </w:tc>
        <w:tc>
          <w:tcPr>
            <w:tcW w:w="5315" w:type="dxa"/>
            <w:tcBorders/>
            <w:shd w:fill="CCEEFF" w:val="clear"/>
            <w:vAlign w:val="center"/>
          </w:tcPr>
          <w:p>
            <w:pPr>
              <w:pStyle w:val="TableContents"/>
              <w:bidi w:val="0"/>
              <w:spacing w:before="0" w:after="283"/>
              <w:jc w:val="left"/>
              <w:rPr/>
            </w:pPr>
            <w:hyperlink w:anchor="a_053">
              <w:r>
                <w:rPr>
                  <w:rStyle w:val="InternetLink"/>
                  <w:rFonts w:ascii="Times New Roman;Times;Serif" w:hAnsi="Times New Roman;Times;Serif"/>
                  <w:b w:val="false"/>
                  <w:i w:val="false"/>
                  <w:caps w:val="false"/>
                  <w:smallCaps w:val="false"/>
                  <w:sz w:val="20"/>
                </w:rPr>
                <w:t>Merger, Conversion, Consolidation or Succession to Business</w:t>
              </w:r>
            </w:hyperlink>
          </w:p>
        </w:tc>
        <w:tc>
          <w:tcPr>
            <w:tcW w:w="605" w:type="dxa"/>
            <w:tcBorders/>
            <w:shd w:fill="CCEEFF" w:val="clear"/>
            <w:vAlign w:val="center"/>
          </w:tcPr>
          <w:p>
            <w:pPr>
              <w:pStyle w:val="TableContents"/>
              <w:bidi w:val="0"/>
              <w:spacing w:before="0" w:after="283"/>
              <w:ind w:left="0" w:right="0" w:firstLine="18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33</w:t>
            </w:r>
          </w:p>
        </w:tc>
      </w:tr>
      <w:tr>
        <w:trPr/>
        <w:tc>
          <w:tcPr>
            <w:tcW w:w="105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31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5" w:type="dxa"/>
            <w:tcBorders/>
            <w:shd w:fill="FFFFFF" w:val="clear"/>
            <w:vAlign w:val="center"/>
          </w:tcPr>
          <w:p>
            <w:pPr>
              <w:pStyle w:val="TableContents"/>
              <w:bidi w:val="0"/>
              <w:spacing w:before="0" w:after="283"/>
              <w:ind w:left="0" w:right="0" w:firstLine="180"/>
              <w:jc w:val="center"/>
              <w:rPr>
                <w:caps w:val="false"/>
                <w:smallCaps w:val="false"/>
              </w:rPr>
            </w:pPr>
            <w:r>
              <w:rPr>
                <w:caps w:val="false"/>
                <w:smallCaps w:val="false"/>
              </w:rPr>
              <w:t> </w:t>
            </w:r>
          </w:p>
        </w:tc>
      </w:tr>
      <w:tr>
        <w:trPr/>
        <w:tc>
          <w:tcPr>
            <w:tcW w:w="105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7.13</w:t>
            </w:r>
          </w:p>
        </w:tc>
        <w:tc>
          <w:tcPr>
            <w:tcW w:w="5315" w:type="dxa"/>
            <w:tcBorders/>
            <w:shd w:fill="CCEEFF" w:val="clear"/>
            <w:vAlign w:val="center"/>
          </w:tcPr>
          <w:p>
            <w:pPr>
              <w:pStyle w:val="TableContents"/>
              <w:bidi w:val="0"/>
              <w:spacing w:before="0" w:after="283"/>
              <w:jc w:val="left"/>
              <w:rPr/>
            </w:pPr>
            <w:hyperlink w:anchor="a_054">
              <w:r>
                <w:rPr>
                  <w:rStyle w:val="InternetLink"/>
                  <w:rFonts w:ascii="Times New Roman;Times;Serif" w:hAnsi="Times New Roman;Times;Serif"/>
                  <w:b w:val="false"/>
                  <w:i w:val="false"/>
                  <w:caps w:val="false"/>
                  <w:smallCaps w:val="false"/>
                  <w:sz w:val="20"/>
                </w:rPr>
                <w:t>Preferential Collection of Claims Against the Company</w:t>
              </w:r>
            </w:hyperlink>
          </w:p>
        </w:tc>
        <w:tc>
          <w:tcPr>
            <w:tcW w:w="605" w:type="dxa"/>
            <w:tcBorders/>
            <w:shd w:fill="CCEEFF" w:val="clear"/>
            <w:vAlign w:val="center"/>
          </w:tcPr>
          <w:p>
            <w:pPr>
              <w:pStyle w:val="TableContents"/>
              <w:bidi w:val="0"/>
              <w:spacing w:before="0" w:after="283"/>
              <w:ind w:left="0" w:right="0" w:firstLine="18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34</w:t>
            </w:r>
          </w:p>
        </w:tc>
      </w:tr>
      <w:tr>
        <w:trPr/>
        <w:tc>
          <w:tcPr>
            <w:tcW w:w="105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31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5" w:type="dxa"/>
            <w:tcBorders/>
            <w:shd w:fill="FFFFFF" w:val="clear"/>
            <w:vAlign w:val="center"/>
          </w:tcPr>
          <w:p>
            <w:pPr>
              <w:pStyle w:val="TableContents"/>
              <w:bidi w:val="0"/>
              <w:spacing w:before="0" w:after="283"/>
              <w:ind w:left="0" w:right="0" w:firstLine="180"/>
              <w:jc w:val="center"/>
              <w:rPr>
                <w:caps w:val="false"/>
                <w:smallCaps w:val="false"/>
              </w:rPr>
            </w:pPr>
            <w:r>
              <w:rPr>
                <w:caps w:val="false"/>
                <w:smallCaps w:val="false"/>
              </w:rPr>
              <w:t> </w:t>
            </w:r>
          </w:p>
        </w:tc>
      </w:tr>
      <w:tr>
        <w:trPr/>
        <w:tc>
          <w:tcPr>
            <w:tcW w:w="105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7.14</w:t>
            </w:r>
          </w:p>
        </w:tc>
        <w:tc>
          <w:tcPr>
            <w:tcW w:w="5315" w:type="dxa"/>
            <w:tcBorders/>
            <w:shd w:fill="CCEEFF" w:val="clear"/>
            <w:vAlign w:val="center"/>
          </w:tcPr>
          <w:p>
            <w:pPr>
              <w:pStyle w:val="TableContents"/>
              <w:bidi w:val="0"/>
              <w:spacing w:before="0" w:after="283"/>
              <w:jc w:val="left"/>
              <w:rPr/>
            </w:pPr>
            <w:hyperlink w:anchor="a_055">
              <w:r>
                <w:rPr>
                  <w:rStyle w:val="InternetLink"/>
                  <w:rFonts w:ascii="Times New Roman;Times;Serif" w:hAnsi="Times New Roman;Times;Serif"/>
                  <w:b w:val="false"/>
                  <w:i w:val="false"/>
                  <w:caps w:val="false"/>
                  <w:smallCaps w:val="false"/>
                  <w:sz w:val="20"/>
                </w:rPr>
                <w:t>Notice of Default</w:t>
              </w:r>
            </w:hyperlink>
          </w:p>
        </w:tc>
        <w:tc>
          <w:tcPr>
            <w:tcW w:w="605" w:type="dxa"/>
            <w:tcBorders/>
            <w:shd w:fill="CCEEFF" w:val="clear"/>
            <w:vAlign w:val="center"/>
          </w:tcPr>
          <w:p>
            <w:pPr>
              <w:pStyle w:val="TableContents"/>
              <w:bidi w:val="0"/>
              <w:spacing w:before="0" w:after="283"/>
              <w:ind w:left="0" w:right="0" w:firstLine="18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34</w:t>
            </w:r>
          </w:p>
        </w:tc>
      </w:tr>
      <w:tr>
        <w:trPr/>
        <w:tc>
          <w:tcPr>
            <w:tcW w:w="105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31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5"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r>
      <w:tr>
        <w:trPr/>
        <w:tc>
          <w:tcPr>
            <w:tcW w:w="6370" w:type="dxa"/>
            <w:gridSpan w:val="2"/>
            <w:tcBorders/>
            <w:shd w:fill="CCEEFF" w:val="clear"/>
            <w:vAlign w:val="center"/>
          </w:tcPr>
          <w:p>
            <w:pPr>
              <w:pStyle w:val="TableContents"/>
              <w:bidi w:val="0"/>
              <w:spacing w:before="0" w:after="283"/>
              <w:jc w:val="left"/>
              <w:rPr/>
            </w:pPr>
            <w:hyperlink w:anchor="a_056">
              <w:r>
                <w:rPr>
                  <w:rStyle w:val="InternetLink"/>
                  <w:rFonts w:ascii="Times New Roman;Times;Serif" w:hAnsi="Times New Roman;Times;Serif"/>
                  <w:b w:val="false"/>
                  <w:i w:val="false"/>
                  <w:caps w:val="false"/>
                  <w:smallCaps w:val="false"/>
                  <w:sz w:val="20"/>
                </w:rPr>
                <w:t>ARTICLE 8 CONCERNING THE SECURITYHOLDERS</w:t>
              </w:r>
            </w:hyperlink>
          </w:p>
        </w:tc>
        <w:tc>
          <w:tcPr>
            <w:tcW w:w="605" w:type="dxa"/>
            <w:tcBorders/>
            <w:shd w:fill="CCEEFF" w:val="clear"/>
            <w:vAlign w:val="center"/>
          </w:tcPr>
          <w:p>
            <w:pPr>
              <w:pStyle w:val="TableContents"/>
              <w:bidi w:val="0"/>
              <w:spacing w:before="0" w:after="283"/>
              <w:ind w:left="0" w:right="0" w:firstLine="18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34</w:t>
            </w:r>
          </w:p>
        </w:tc>
      </w:tr>
      <w:tr>
        <w:trPr/>
        <w:tc>
          <w:tcPr>
            <w:tcW w:w="105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31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5" w:type="dxa"/>
            <w:tcBorders/>
            <w:shd w:fill="FFFFFF" w:val="clear"/>
            <w:vAlign w:val="center"/>
          </w:tcPr>
          <w:p>
            <w:pPr>
              <w:pStyle w:val="TableContents"/>
              <w:bidi w:val="0"/>
              <w:spacing w:before="0" w:after="283"/>
              <w:ind w:left="0" w:right="0" w:firstLine="180"/>
              <w:jc w:val="center"/>
              <w:rPr>
                <w:caps w:val="false"/>
                <w:smallCaps w:val="false"/>
              </w:rPr>
            </w:pPr>
            <w:r>
              <w:rPr>
                <w:caps w:val="false"/>
                <w:smallCaps w:val="false"/>
              </w:rPr>
              <w:t> </w:t>
            </w:r>
          </w:p>
        </w:tc>
      </w:tr>
      <w:tr>
        <w:trPr/>
        <w:tc>
          <w:tcPr>
            <w:tcW w:w="105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8.01</w:t>
            </w:r>
          </w:p>
        </w:tc>
        <w:tc>
          <w:tcPr>
            <w:tcW w:w="5315" w:type="dxa"/>
            <w:tcBorders/>
            <w:shd w:fill="CCEEFF" w:val="clear"/>
            <w:vAlign w:val="center"/>
          </w:tcPr>
          <w:p>
            <w:pPr>
              <w:pStyle w:val="TableContents"/>
              <w:bidi w:val="0"/>
              <w:spacing w:before="0" w:after="283"/>
              <w:jc w:val="left"/>
              <w:rPr/>
            </w:pPr>
            <w:hyperlink w:anchor="a_057">
              <w:r>
                <w:rPr>
                  <w:rStyle w:val="InternetLink"/>
                  <w:rFonts w:ascii="Times New Roman;Times;Serif" w:hAnsi="Times New Roman;Times;Serif"/>
                  <w:b w:val="false"/>
                  <w:i w:val="false"/>
                  <w:caps w:val="false"/>
                  <w:smallCaps w:val="false"/>
                  <w:sz w:val="20"/>
                </w:rPr>
                <w:t>Evidence of Action by Securityholders</w:t>
              </w:r>
            </w:hyperlink>
          </w:p>
        </w:tc>
        <w:tc>
          <w:tcPr>
            <w:tcW w:w="605" w:type="dxa"/>
            <w:tcBorders/>
            <w:shd w:fill="CCEEFF" w:val="clear"/>
            <w:vAlign w:val="center"/>
          </w:tcPr>
          <w:p>
            <w:pPr>
              <w:pStyle w:val="TableContents"/>
              <w:bidi w:val="0"/>
              <w:spacing w:before="0" w:after="283"/>
              <w:ind w:left="0" w:right="0" w:firstLine="18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34</w:t>
            </w:r>
          </w:p>
        </w:tc>
      </w:tr>
      <w:tr>
        <w:trPr/>
        <w:tc>
          <w:tcPr>
            <w:tcW w:w="105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31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5" w:type="dxa"/>
            <w:tcBorders/>
            <w:shd w:fill="FFFFFF" w:val="clear"/>
            <w:vAlign w:val="center"/>
          </w:tcPr>
          <w:p>
            <w:pPr>
              <w:pStyle w:val="TableContents"/>
              <w:bidi w:val="0"/>
              <w:spacing w:before="0" w:after="283"/>
              <w:ind w:left="0" w:right="0" w:firstLine="180"/>
              <w:jc w:val="center"/>
              <w:rPr>
                <w:caps w:val="false"/>
                <w:smallCaps w:val="false"/>
              </w:rPr>
            </w:pPr>
            <w:r>
              <w:rPr>
                <w:caps w:val="false"/>
                <w:smallCaps w:val="false"/>
              </w:rPr>
              <w:t> </w:t>
            </w:r>
          </w:p>
        </w:tc>
      </w:tr>
      <w:tr>
        <w:trPr/>
        <w:tc>
          <w:tcPr>
            <w:tcW w:w="105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8.02</w:t>
            </w:r>
          </w:p>
        </w:tc>
        <w:tc>
          <w:tcPr>
            <w:tcW w:w="5315" w:type="dxa"/>
            <w:tcBorders/>
            <w:shd w:fill="CCEEFF" w:val="clear"/>
            <w:vAlign w:val="center"/>
          </w:tcPr>
          <w:p>
            <w:pPr>
              <w:pStyle w:val="TableContents"/>
              <w:bidi w:val="0"/>
              <w:spacing w:before="0" w:after="283"/>
              <w:jc w:val="left"/>
              <w:rPr/>
            </w:pPr>
            <w:hyperlink w:anchor="a_058">
              <w:r>
                <w:rPr>
                  <w:rStyle w:val="InternetLink"/>
                  <w:rFonts w:ascii="Times New Roman;Times;Serif" w:hAnsi="Times New Roman;Times;Serif"/>
                  <w:b w:val="false"/>
                  <w:i w:val="false"/>
                  <w:caps w:val="false"/>
                  <w:smallCaps w:val="false"/>
                  <w:sz w:val="20"/>
                </w:rPr>
                <w:t>Proof of Execution by Securityholders</w:t>
              </w:r>
            </w:hyperlink>
          </w:p>
        </w:tc>
        <w:tc>
          <w:tcPr>
            <w:tcW w:w="605" w:type="dxa"/>
            <w:tcBorders/>
            <w:shd w:fill="CCEEFF" w:val="clear"/>
            <w:vAlign w:val="center"/>
          </w:tcPr>
          <w:p>
            <w:pPr>
              <w:pStyle w:val="TableContents"/>
              <w:bidi w:val="0"/>
              <w:spacing w:before="0" w:after="283"/>
              <w:ind w:left="0" w:right="0" w:firstLine="18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35</w:t>
            </w:r>
          </w:p>
        </w:tc>
      </w:tr>
      <w:tr>
        <w:trPr/>
        <w:tc>
          <w:tcPr>
            <w:tcW w:w="105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31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5" w:type="dxa"/>
            <w:tcBorders/>
            <w:shd w:fill="FFFFFF" w:val="clear"/>
            <w:vAlign w:val="center"/>
          </w:tcPr>
          <w:p>
            <w:pPr>
              <w:pStyle w:val="TableContents"/>
              <w:bidi w:val="0"/>
              <w:spacing w:before="0" w:after="283"/>
              <w:ind w:left="0" w:right="0" w:firstLine="180"/>
              <w:jc w:val="center"/>
              <w:rPr>
                <w:caps w:val="false"/>
                <w:smallCaps w:val="false"/>
              </w:rPr>
            </w:pPr>
            <w:r>
              <w:rPr>
                <w:caps w:val="false"/>
                <w:smallCaps w:val="false"/>
              </w:rPr>
              <w:t> </w:t>
            </w:r>
          </w:p>
        </w:tc>
      </w:tr>
      <w:tr>
        <w:trPr/>
        <w:tc>
          <w:tcPr>
            <w:tcW w:w="105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8.03</w:t>
            </w:r>
          </w:p>
        </w:tc>
        <w:tc>
          <w:tcPr>
            <w:tcW w:w="5315" w:type="dxa"/>
            <w:tcBorders/>
            <w:shd w:fill="CCEEFF" w:val="clear"/>
            <w:vAlign w:val="center"/>
          </w:tcPr>
          <w:p>
            <w:pPr>
              <w:pStyle w:val="TableContents"/>
              <w:bidi w:val="0"/>
              <w:spacing w:before="0" w:after="283"/>
              <w:jc w:val="left"/>
              <w:rPr/>
            </w:pPr>
            <w:hyperlink w:anchor="a_059">
              <w:r>
                <w:rPr>
                  <w:rStyle w:val="InternetLink"/>
                  <w:rFonts w:ascii="Times New Roman;Times;Serif" w:hAnsi="Times New Roman;Times;Serif"/>
                  <w:b w:val="false"/>
                  <w:i w:val="false"/>
                  <w:caps w:val="false"/>
                  <w:smallCaps w:val="false"/>
                  <w:sz w:val="20"/>
                </w:rPr>
                <w:t>Who May be Deemed Owners</w:t>
              </w:r>
            </w:hyperlink>
          </w:p>
        </w:tc>
        <w:tc>
          <w:tcPr>
            <w:tcW w:w="605" w:type="dxa"/>
            <w:tcBorders/>
            <w:shd w:fill="CCEEFF" w:val="clear"/>
            <w:vAlign w:val="center"/>
          </w:tcPr>
          <w:p>
            <w:pPr>
              <w:pStyle w:val="TableContents"/>
              <w:bidi w:val="0"/>
              <w:spacing w:before="0" w:after="283"/>
              <w:ind w:left="0" w:right="0" w:firstLine="18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35</w:t>
            </w:r>
          </w:p>
        </w:tc>
      </w:tr>
      <w:tr>
        <w:trPr/>
        <w:tc>
          <w:tcPr>
            <w:tcW w:w="105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31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5" w:type="dxa"/>
            <w:tcBorders/>
            <w:shd w:fill="FFFFFF" w:val="clear"/>
            <w:vAlign w:val="center"/>
          </w:tcPr>
          <w:p>
            <w:pPr>
              <w:pStyle w:val="TableContents"/>
              <w:bidi w:val="0"/>
              <w:spacing w:before="0" w:after="283"/>
              <w:ind w:left="0" w:right="0" w:firstLine="180"/>
              <w:jc w:val="center"/>
              <w:rPr>
                <w:caps w:val="false"/>
                <w:smallCaps w:val="false"/>
              </w:rPr>
            </w:pPr>
            <w:r>
              <w:rPr>
                <w:caps w:val="false"/>
                <w:smallCaps w:val="false"/>
              </w:rPr>
              <w:t> </w:t>
            </w:r>
          </w:p>
        </w:tc>
      </w:tr>
      <w:tr>
        <w:trPr/>
        <w:tc>
          <w:tcPr>
            <w:tcW w:w="105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8.04</w:t>
            </w:r>
          </w:p>
        </w:tc>
        <w:tc>
          <w:tcPr>
            <w:tcW w:w="5315" w:type="dxa"/>
            <w:tcBorders/>
            <w:shd w:fill="CCEEFF" w:val="clear"/>
            <w:vAlign w:val="center"/>
          </w:tcPr>
          <w:p>
            <w:pPr>
              <w:pStyle w:val="TableContents"/>
              <w:bidi w:val="0"/>
              <w:spacing w:before="0" w:after="283"/>
              <w:jc w:val="left"/>
              <w:rPr/>
            </w:pPr>
            <w:hyperlink w:anchor="a_060">
              <w:r>
                <w:rPr>
                  <w:rStyle w:val="InternetLink"/>
                  <w:rFonts w:ascii="Times New Roman;Times;Serif" w:hAnsi="Times New Roman;Times;Serif"/>
                  <w:b w:val="false"/>
                  <w:i w:val="false"/>
                  <w:caps w:val="false"/>
                  <w:smallCaps w:val="false"/>
                  <w:sz w:val="20"/>
                </w:rPr>
                <w:t>Certain Securities Owned by Company Disregarded</w:t>
              </w:r>
            </w:hyperlink>
          </w:p>
        </w:tc>
        <w:tc>
          <w:tcPr>
            <w:tcW w:w="605" w:type="dxa"/>
            <w:tcBorders/>
            <w:shd w:fill="CCEEFF" w:val="clear"/>
            <w:vAlign w:val="center"/>
          </w:tcPr>
          <w:p>
            <w:pPr>
              <w:pStyle w:val="TableContents"/>
              <w:bidi w:val="0"/>
              <w:spacing w:before="0" w:after="283"/>
              <w:ind w:left="0" w:right="0" w:firstLine="18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35</w:t>
            </w:r>
          </w:p>
        </w:tc>
      </w:tr>
      <w:tr>
        <w:trPr/>
        <w:tc>
          <w:tcPr>
            <w:tcW w:w="105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31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5" w:type="dxa"/>
            <w:tcBorders/>
            <w:shd w:fill="FFFFFF" w:val="clear"/>
            <w:vAlign w:val="center"/>
          </w:tcPr>
          <w:p>
            <w:pPr>
              <w:pStyle w:val="TableContents"/>
              <w:bidi w:val="0"/>
              <w:spacing w:before="0" w:after="283"/>
              <w:ind w:left="0" w:right="0" w:firstLine="180"/>
              <w:jc w:val="center"/>
              <w:rPr>
                <w:caps w:val="false"/>
                <w:smallCaps w:val="false"/>
              </w:rPr>
            </w:pPr>
            <w:r>
              <w:rPr>
                <w:caps w:val="false"/>
                <w:smallCaps w:val="false"/>
              </w:rPr>
              <w:t> </w:t>
            </w:r>
          </w:p>
        </w:tc>
      </w:tr>
      <w:tr>
        <w:trPr/>
        <w:tc>
          <w:tcPr>
            <w:tcW w:w="105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8.05</w:t>
            </w:r>
          </w:p>
        </w:tc>
        <w:tc>
          <w:tcPr>
            <w:tcW w:w="5315" w:type="dxa"/>
            <w:tcBorders/>
            <w:shd w:fill="CCEEFF" w:val="clear"/>
            <w:vAlign w:val="center"/>
          </w:tcPr>
          <w:p>
            <w:pPr>
              <w:pStyle w:val="TableContents"/>
              <w:bidi w:val="0"/>
              <w:spacing w:before="0" w:after="283"/>
              <w:jc w:val="left"/>
              <w:rPr/>
            </w:pPr>
            <w:hyperlink w:anchor="a_061">
              <w:r>
                <w:rPr>
                  <w:rStyle w:val="InternetLink"/>
                  <w:rFonts w:ascii="Times New Roman;Times;Serif" w:hAnsi="Times New Roman;Times;Serif"/>
                  <w:b w:val="false"/>
                  <w:i w:val="false"/>
                  <w:caps w:val="false"/>
                  <w:smallCaps w:val="false"/>
                  <w:sz w:val="20"/>
                </w:rPr>
                <w:t>Actions Binding on Future Securityholders</w:t>
              </w:r>
            </w:hyperlink>
          </w:p>
        </w:tc>
        <w:tc>
          <w:tcPr>
            <w:tcW w:w="605" w:type="dxa"/>
            <w:tcBorders/>
            <w:shd w:fill="CCEEFF" w:val="clear"/>
            <w:vAlign w:val="center"/>
          </w:tcPr>
          <w:p>
            <w:pPr>
              <w:pStyle w:val="TableContents"/>
              <w:bidi w:val="0"/>
              <w:spacing w:before="0" w:after="283"/>
              <w:ind w:left="0" w:right="0" w:firstLine="18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36</w:t>
            </w:r>
          </w:p>
        </w:tc>
      </w:tr>
      <w:tr>
        <w:trPr/>
        <w:tc>
          <w:tcPr>
            <w:tcW w:w="105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31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5"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r>
      <w:tr>
        <w:trPr/>
        <w:tc>
          <w:tcPr>
            <w:tcW w:w="6370" w:type="dxa"/>
            <w:gridSpan w:val="2"/>
            <w:tcBorders/>
            <w:shd w:fill="CCEEFF" w:val="clear"/>
            <w:vAlign w:val="center"/>
          </w:tcPr>
          <w:p>
            <w:pPr>
              <w:pStyle w:val="TableContents"/>
              <w:bidi w:val="0"/>
              <w:spacing w:before="0" w:after="283"/>
              <w:jc w:val="left"/>
              <w:rPr/>
            </w:pPr>
            <w:hyperlink w:anchor="a_062">
              <w:r>
                <w:rPr>
                  <w:rStyle w:val="InternetLink"/>
                  <w:rFonts w:ascii="Times New Roman;Times;Serif" w:hAnsi="Times New Roman;Times;Serif"/>
                  <w:b w:val="false"/>
                  <w:i w:val="false"/>
                  <w:caps w:val="false"/>
                  <w:smallCaps w:val="false"/>
                  <w:sz w:val="20"/>
                </w:rPr>
                <w:t>ARTICLE 9 SUPPLEMENTAL INDENTURES</w:t>
              </w:r>
            </w:hyperlink>
          </w:p>
        </w:tc>
        <w:tc>
          <w:tcPr>
            <w:tcW w:w="605" w:type="dxa"/>
            <w:tcBorders/>
            <w:shd w:fill="CCEEFF" w:val="clear"/>
            <w:vAlign w:val="center"/>
          </w:tcPr>
          <w:p>
            <w:pPr>
              <w:pStyle w:val="TableContents"/>
              <w:bidi w:val="0"/>
              <w:spacing w:before="0" w:after="283"/>
              <w:ind w:left="0" w:right="0" w:firstLine="18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36</w:t>
            </w:r>
          </w:p>
        </w:tc>
      </w:tr>
      <w:tr>
        <w:trPr/>
        <w:tc>
          <w:tcPr>
            <w:tcW w:w="105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31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5" w:type="dxa"/>
            <w:tcBorders/>
            <w:shd w:fill="FFFFFF" w:val="clear"/>
            <w:vAlign w:val="center"/>
          </w:tcPr>
          <w:p>
            <w:pPr>
              <w:pStyle w:val="TableContents"/>
              <w:bidi w:val="0"/>
              <w:spacing w:before="0" w:after="283"/>
              <w:ind w:left="0" w:right="0" w:firstLine="180"/>
              <w:jc w:val="center"/>
              <w:rPr>
                <w:caps w:val="false"/>
                <w:smallCaps w:val="false"/>
              </w:rPr>
            </w:pPr>
            <w:r>
              <w:rPr>
                <w:caps w:val="false"/>
                <w:smallCaps w:val="false"/>
              </w:rPr>
              <w:t> </w:t>
            </w:r>
          </w:p>
        </w:tc>
      </w:tr>
      <w:tr>
        <w:trPr/>
        <w:tc>
          <w:tcPr>
            <w:tcW w:w="105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9.01</w:t>
            </w:r>
          </w:p>
        </w:tc>
        <w:tc>
          <w:tcPr>
            <w:tcW w:w="5315" w:type="dxa"/>
            <w:tcBorders/>
            <w:shd w:fill="CCEEFF" w:val="clear"/>
            <w:vAlign w:val="center"/>
          </w:tcPr>
          <w:p>
            <w:pPr>
              <w:pStyle w:val="TableContents"/>
              <w:bidi w:val="0"/>
              <w:spacing w:before="0" w:after="283"/>
              <w:jc w:val="left"/>
              <w:rPr/>
            </w:pPr>
            <w:hyperlink w:anchor="a_063">
              <w:r>
                <w:rPr>
                  <w:rStyle w:val="InternetLink"/>
                  <w:rFonts w:ascii="Times New Roman;Times;Serif" w:hAnsi="Times New Roman;Times;Serif"/>
                  <w:b w:val="false"/>
                  <w:i w:val="false"/>
                  <w:caps w:val="false"/>
                  <w:smallCaps w:val="false"/>
                  <w:sz w:val="20"/>
                </w:rPr>
                <w:t>Supplemental Indentures Without the Consent of Securityholders</w:t>
              </w:r>
            </w:hyperlink>
          </w:p>
        </w:tc>
        <w:tc>
          <w:tcPr>
            <w:tcW w:w="605" w:type="dxa"/>
            <w:tcBorders/>
            <w:shd w:fill="CCEEFF" w:val="clear"/>
            <w:vAlign w:val="center"/>
          </w:tcPr>
          <w:p>
            <w:pPr>
              <w:pStyle w:val="TableContents"/>
              <w:bidi w:val="0"/>
              <w:spacing w:before="0" w:after="283"/>
              <w:ind w:left="0" w:right="0" w:firstLine="18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36</w:t>
            </w:r>
          </w:p>
        </w:tc>
      </w:tr>
      <w:tr>
        <w:trPr/>
        <w:tc>
          <w:tcPr>
            <w:tcW w:w="105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31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5" w:type="dxa"/>
            <w:tcBorders/>
            <w:shd w:fill="FFFFFF" w:val="clear"/>
            <w:vAlign w:val="center"/>
          </w:tcPr>
          <w:p>
            <w:pPr>
              <w:pStyle w:val="TableContents"/>
              <w:bidi w:val="0"/>
              <w:spacing w:before="0" w:after="283"/>
              <w:ind w:left="0" w:right="0" w:firstLine="180"/>
              <w:jc w:val="center"/>
              <w:rPr>
                <w:caps w:val="false"/>
                <w:smallCaps w:val="false"/>
              </w:rPr>
            </w:pPr>
            <w:r>
              <w:rPr>
                <w:caps w:val="false"/>
                <w:smallCaps w:val="false"/>
              </w:rPr>
              <w:t> </w:t>
            </w:r>
          </w:p>
        </w:tc>
      </w:tr>
      <w:tr>
        <w:trPr/>
        <w:tc>
          <w:tcPr>
            <w:tcW w:w="105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9.02</w:t>
            </w:r>
          </w:p>
        </w:tc>
        <w:tc>
          <w:tcPr>
            <w:tcW w:w="5315" w:type="dxa"/>
            <w:tcBorders/>
            <w:shd w:fill="CCEEFF" w:val="clear"/>
            <w:vAlign w:val="center"/>
          </w:tcPr>
          <w:p>
            <w:pPr>
              <w:pStyle w:val="TableContents"/>
              <w:bidi w:val="0"/>
              <w:spacing w:before="0" w:after="283"/>
              <w:jc w:val="left"/>
              <w:rPr/>
            </w:pPr>
            <w:hyperlink w:anchor="a_064">
              <w:r>
                <w:rPr>
                  <w:rStyle w:val="InternetLink"/>
                  <w:rFonts w:ascii="Times New Roman;Times;Serif" w:hAnsi="Times New Roman;Times;Serif"/>
                  <w:b w:val="false"/>
                  <w:i w:val="false"/>
                  <w:caps w:val="false"/>
                  <w:smallCaps w:val="false"/>
                  <w:sz w:val="20"/>
                </w:rPr>
                <w:t>Supplemental Indentures With Consent of Securityholders</w:t>
              </w:r>
            </w:hyperlink>
          </w:p>
        </w:tc>
        <w:tc>
          <w:tcPr>
            <w:tcW w:w="605" w:type="dxa"/>
            <w:tcBorders/>
            <w:shd w:fill="CCEEFF" w:val="clear"/>
            <w:vAlign w:val="center"/>
          </w:tcPr>
          <w:p>
            <w:pPr>
              <w:pStyle w:val="TableContents"/>
              <w:bidi w:val="0"/>
              <w:spacing w:before="0" w:after="283"/>
              <w:ind w:left="0" w:right="0" w:firstLine="18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38</w:t>
            </w:r>
          </w:p>
        </w:tc>
      </w:tr>
      <w:tr>
        <w:trPr/>
        <w:tc>
          <w:tcPr>
            <w:tcW w:w="105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31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5" w:type="dxa"/>
            <w:tcBorders/>
            <w:shd w:fill="FFFFFF" w:val="clear"/>
            <w:vAlign w:val="center"/>
          </w:tcPr>
          <w:p>
            <w:pPr>
              <w:pStyle w:val="TableContents"/>
              <w:bidi w:val="0"/>
              <w:spacing w:before="0" w:after="283"/>
              <w:ind w:left="0" w:right="0" w:firstLine="180"/>
              <w:jc w:val="center"/>
              <w:rPr>
                <w:caps w:val="false"/>
                <w:smallCaps w:val="false"/>
              </w:rPr>
            </w:pPr>
            <w:r>
              <w:rPr>
                <w:caps w:val="false"/>
                <w:smallCaps w:val="false"/>
              </w:rPr>
              <w:t> </w:t>
            </w:r>
          </w:p>
        </w:tc>
      </w:tr>
      <w:tr>
        <w:trPr/>
        <w:tc>
          <w:tcPr>
            <w:tcW w:w="105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9.03</w:t>
            </w:r>
          </w:p>
        </w:tc>
        <w:tc>
          <w:tcPr>
            <w:tcW w:w="5315" w:type="dxa"/>
            <w:tcBorders/>
            <w:shd w:fill="CCEEFF" w:val="clear"/>
            <w:vAlign w:val="center"/>
          </w:tcPr>
          <w:p>
            <w:pPr>
              <w:pStyle w:val="TableContents"/>
              <w:bidi w:val="0"/>
              <w:spacing w:before="0" w:after="283"/>
              <w:jc w:val="left"/>
              <w:rPr/>
            </w:pPr>
            <w:hyperlink w:anchor="a_065">
              <w:r>
                <w:rPr>
                  <w:rStyle w:val="InternetLink"/>
                  <w:rFonts w:ascii="Times New Roman;Times;Serif" w:hAnsi="Times New Roman;Times;Serif"/>
                  <w:b w:val="false"/>
                  <w:i w:val="false"/>
                  <w:caps w:val="false"/>
                  <w:smallCaps w:val="false"/>
                  <w:sz w:val="20"/>
                </w:rPr>
                <w:t>Effect of Supplemental Indentures</w:t>
              </w:r>
            </w:hyperlink>
          </w:p>
        </w:tc>
        <w:tc>
          <w:tcPr>
            <w:tcW w:w="605" w:type="dxa"/>
            <w:tcBorders/>
            <w:shd w:fill="CCEEFF" w:val="clear"/>
            <w:vAlign w:val="center"/>
          </w:tcPr>
          <w:p>
            <w:pPr>
              <w:pStyle w:val="TableContents"/>
              <w:bidi w:val="0"/>
              <w:spacing w:before="0" w:after="283"/>
              <w:ind w:left="0" w:right="0" w:firstLine="18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38</w:t>
            </w:r>
          </w:p>
        </w:tc>
      </w:tr>
      <w:tr>
        <w:trPr/>
        <w:tc>
          <w:tcPr>
            <w:tcW w:w="105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31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5" w:type="dxa"/>
            <w:tcBorders/>
            <w:shd w:fill="FFFFFF" w:val="clear"/>
            <w:vAlign w:val="center"/>
          </w:tcPr>
          <w:p>
            <w:pPr>
              <w:pStyle w:val="TableContents"/>
              <w:bidi w:val="0"/>
              <w:spacing w:before="0" w:after="283"/>
              <w:ind w:left="0" w:right="0" w:firstLine="180"/>
              <w:jc w:val="center"/>
              <w:rPr>
                <w:caps w:val="false"/>
                <w:smallCaps w:val="false"/>
              </w:rPr>
            </w:pPr>
            <w:r>
              <w:rPr>
                <w:caps w:val="false"/>
                <w:smallCaps w:val="false"/>
              </w:rPr>
              <w:t> </w:t>
            </w:r>
          </w:p>
        </w:tc>
      </w:tr>
      <w:tr>
        <w:trPr/>
        <w:tc>
          <w:tcPr>
            <w:tcW w:w="105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9.04</w:t>
            </w:r>
          </w:p>
        </w:tc>
        <w:tc>
          <w:tcPr>
            <w:tcW w:w="5315" w:type="dxa"/>
            <w:tcBorders/>
            <w:shd w:fill="CCEEFF" w:val="clear"/>
            <w:vAlign w:val="center"/>
          </w:tcPr>
          <w:p>
            <w:pPr>
              <w:pStyle w:val="TableContents"/>
              <w:bidi w:val="0"/>
              <w:spacing w:before="0" w:after="283"/>
              <w:jc w:val="left"/>
              <w:rPr/>
            </w:pPr>
            <w:hyperlink w:anchor="a_066">
              <w:r>
                <w:rPr>
                  <w:rStyle w:val="InternetLink"/>
                  <w:rFonts w:ascii="Times New Roman;Times;Serif" w:hAnsi="Times New Roman;Times;Serif"/>
                  <w:b w:val="false"/>
                  <w:i w:val="false"/>
                  <w:caps w:val="false"/>
                  <w:smallCaps w:val="false"/>
                  <w:sz w:val="20"/>
                </w:rPr>
                <w:t>Securities Affected by Supplemental Indentures</w:t>
              </w:r>
            </w:hyperlink>
          </w:p>
        </w:tc>
        <w:tc>
          <w:tcPr>
            <w:tcW w:w="605" w:type="dxa"/>
            <w:tcBorders/>
            <w:shd w:fill="CCEEFF" w:val="clear"/>
            <w:vAlign w:val="center"/>
          </w:tcPr>
          <w:p>
            <w:pPr>
              <w:pStyle w:val="TableContents"/>
              <w:bidi w:val="0"/>
              <w:spacing w:before="0" w:after="283"/>
              <w:ind w:left="0" w:right="0" w:firstLine="18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38</w:t>
            </w:r>
          </w:p>
        </w:tc>
      </w:tr>
      <w:tr>
        <w:trPr/>
        <w:tc>
          <w:tcPr>
            <w:tcW w:w="105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31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5" w:type="dxa"/>
            <w:tcBorders/>
            <w:shd w:fill="FFFFFF" w:val="clear"/>
            <w:vAlign w:val="center"/>
          </w:tcPr>
          <w:p>
            <w:pPr>
              <w:pStyle w:val="TableContents"/>
              <w:bidi w:val="0"/>
              <w:spacing w:before="0" w:after="283"/>
              <w:ind w:left="0" w:right="0" w:firstLine="180"/>
              <w:jc w:val="center"/>
              <w:rPr>
                <w:caps w:val="false"/>
                <w:smallCaps w:val="false"/>
              </w:rPr>
            </w:pPr>
            <w:r>
              <w:rPr>
                <w:caps w:val="false"/>
                <w:smallCaps w:val="false"/>
              </w:rPr>
              <w:t> </w:t>
            </w:r>
          </w:p>
        </w:tc>
      </w:tr>
      <w:tr>
        <w:trPr/>
        <w:tc>
          <w:tcPr>
            <w:tcW w:w="105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9.05</w:t>
            </w:r>
          </w:p>
        </w:tc>
        <w:tc>
          <w:tcPr>
            <w:tcW w:w="5315" w:type="dxa"/>
            <w:tcBorders/>
            <w:shd w:fill="CCEEFF" w:val="clear"/>
            <w:vAlign w:val="center"/>
          </w:tcPr>
          <w:p>
            <w:pPr>
              <w:pStyle w:val="TableContents"/>
              <w:bidi w:val="0"/>
              <w:spacing w:before="0" w:after="283"/>
              <w:jc w:val="left"/>
              <w:rPr/>
            </w:pPr>
            <w:hyperlink w:anchor="a_067">
              <w:r>
                <w:rPr>
                  <w:rStyle w:val="InternetLink"/>
                  <w:rFonts w:ascii="Times New Roman;Times;Serif" w:hAnsi="Times New Roman;Times;Serif"/>
                  <w:b w:val="false"/>
                  <w:i w:val="false"/>
                  <w:caps w:val="false"/>
                  <w:smallCaps w:val="false"/>
                  <w:sz w:val="20"/>
                </w:rPr>
                <w:t>Execution of Supplemental Indentures</w:t>
              </w:r>
            </w:hyperlink>
          </w:p>
        </w:tc>
        <w:tc>
          <w:tcPr>
            <w:tcW w:w="60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39</w:t>
            </w:r>
          </w:p>
        </w:tc>
      </w:tr>
    </w:tbl>
    <w:p>
      <w:pPr>
        <w:pStyle w:val="TextBody"/>
        <w:bidi w:val="0"/>
        <w:jc w:val="both"/>
        <w:rPr>
          <w:caps w:val="false"/>
          <w:smallCaps w:val="false"/>
        </w:rPr>
      </w:pPr>
      <w:r>
        <w:rPr>
          <w:caps w:val="false"/>
          <w:smallCaps w:val="false"/>
        </w:rPr>
        <w:t> </w:t>
      </w:r>
    </w:p>
    <w:p>
      <w:pPr>
        <w:pStyle w:val="TextBody"/>
        <w:bidi w:val="0"/>
        <w:spacing w:before="0" w:after="0"/>
        <w:jc w:val="center"/>
        <w:rPr>
          <w:bdr w:val="single" w:sz="12" w:space="1" w:color="000000"/>
        </w:rPr>
      </w:pPr>
      <w:r>
        <w:rPr>
          <w:bdr w:val="single" w:sz="12" w:space="1" w:color="000000"/>
        </w:rPr>
        <w:t>iii</w:t>
      </w:r>
    </w:p>
    <w:p>
      <w:pPr>
        <w:pStyle w:val="TextBody"/>
        <w:bidi w:val="0"/>
        <w:spacing w:before="0" w:after="0"/>
        <w:ind w:left="0" w:right="0" w:hanging="0"/>
        <w:jc w:val="left"/>
        <w:rPr/>
      </w:pPr>
      <w:r>
        <w:rPr/>
        <w:t> </w:t>
      </w:r>
    </w:p>
    <w:p>
      <w:pPr>
        <w:pStyle w:val="TextBody"/>
        <w:bidi w:val="0"/>
        <w:jc w:val="both"/>
        <w:rPr>
          <w:caps w:val="false"/>
          <w:smallCaps w:val="false"/>
        </w:rPr>
      </w:pPr>
      <w:r>
        <w:rPr>
          <w:caps w:val="false"/>
          <w:smallCaps w:val="false"/>
        </w:rPr>
        <w:t> </w:t>
      </w:r>
    </w:p>
    <w:p>
      <w:pPr>
        <w:pStyle w:val="TextBody"/>
        <w:bidi w:val="0"/>
        <w:jc w:val="center"/>
        <w:rPr>
          <w:rFonts w:ascii="Times New Roman;Times;Serif" w:hAnsi="Times New Roman;Times;Serif"/>
          <w:b w:val="false"/>
          <w:i w:val="false"/>
          <w:caps/>
          <w:sz w:val="20"/>
        </w:rPr>
      </w:pPr>
      <w:r>
        <w:rPr>
          <w:rFonts w:ascii="Times New Roman;Times;Serif" w:hAnsi="Times New Roman;Times;Serif"/>
          <w:b w:val="false"/>
          <w:i w:val="false"/>
          <w:caps/>
          <w:sz w:val="20"/>
        </w:rPr>
        <w:t>TABLE OF CONTENTS</w:t>
      </w:r>
    </w:p>
    <w:p>
      <w:pPr>
        <w:pStyle w:val="TextBody"/>
        <w:bidi w:val="0"/>
        <w:jc w:val="both"/>
        <w:rPr>
          <w:caps w:val="false"/>
          <w:smallCaps w:val="false"/>
        </w:rPr>
      </w:pPr>
      <w:r>
        <w:rPr>
          <w:caps w:val="false"/>
          <w:smallCaps w:val="false"/>
        </w:rPr>
        <w:t> </w:t>
      </w:r>
    </w:p>
    <w:tbl>
      <w:tblPr>
        <w:tblW w:w="8874" w:type="dxa"/>
        <w:jc w:val="left"/>
        <w:tblInd w:w="0" w:type="dxa"/>
        <w:tblLayout w:type="fixed"/>
        <w:tblCellMar>
          <w:top w:w="0" w:type="dxa"/>
          <w:left w:w="0" w:type="dxa"/>
          <w:bottom w:w="0" w:type="dxa"/>
          <w:right w:w="0" w:type="dxa"/>
        </w:tblCellMar>
      </w:tblPr>
      <w:tblGrid>
        <w:gridCol w:w="1720"/>
        <w:gridCol w:w="6549"/>
        <w:gridCol w:w="605"/>
      </w:tblGrid>
      <w:tr>
        <w:trPr/>
        <w:tc>
          <w:tcPr>
            <w:tcW w:w="1720" w:type="dxa"/>
            <w:tcBorders/>
            <w:vAlign w:val="center"/>
          </w:tcPr>
          <w:p>
            <w:pPr>
              <w:pStyle w:val="TableContents"/>
              <w:bidi w:val="0"/>
              <w:spacing w:before="0" w:after="283"/>
              <w:ind w:left="0" w:right="0" w:firstLine="180"/>
              <w:jc w:val="right"/>
              <w:rPr>
                <w:caps w:val="false"/>
                <w:smallCaps w:val="false"/>
              </w:rPr>
            </w:pPr>
            <w:r>
              <w:rPr>
                <w:caps w:val="false"/>
                <w:smallCaps w:val="false"/>
              </w:rPr>
              <w:t> </w:t>
            </w:r>
          </w:p>
        </w:tc>
        <w:tc>
          <w:tcPr>
            <w:tcW w:w="6549" w:type="dxa"/>
            <w:tcBorders/>
            <w:vAlign w:val="center"/>
          </w:tcPr>
          <w:p>
            <w:pPr>
              <w:pStyle w:val="TableContents"/>
              <w:bidi w:val="0"/>
              <w:spacing w:before="0" w:after="283"/>
              <w:jc w:val="right"/>
              <w:rPr>
                <w:caps w:val="false"/>
                <w:smallCaps w:val="false"/>
              </w:rPr>
            </w:pPr>
            <w:r>
              <w:rPr>
                <w:caps w:val="false"/>
                <w:smallCaps w:val="false"/>
              </w:rPr>
              <w:t> </w:t>
            </w:r>
          </w:p>
        </w:tc>
        <w:tc>
          <w:tcPr>
            <w:tcW w:w="605" w:type="dxa"/>
            <w:tcBorders>
              <w:bottom w:val="single" w:sz="12" w:space="0" w:color="000000"/>
            </w:tcBorders>
            <w:tcMar>
              <w:bottom w:w="28" w:type="dxa"/>
            </w:tcMar>
            <w:vAlign w:val="center"/>
          </w:tcPr>
          <w:p>
            <w:pPr>
              <w:pStyle w:val="TableContents"/>
              <w:bidi w:val="0"/>
              <w:spacing w:before="0" w:after="283"/>
              <w:ind w:left="0" w:right="0" w:firstLine="18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Page</w:t>
            </w:r>
          </w:p>
        </w:tc>
      </w:tr>
      <w:tr>
        <w:trPr/>
        <w:tc>
          <w:tcPr>
            <w:tcW w:w="172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54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5"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r>
      <w:tr>
        <w:trPr/>
        <w:tc>
          <w:tcPr>
            <w:tcW w:w="8269" w:type="dxa"/>
            <w:gridSpan w:val="2"/>
            <w:tcBorders/>
            <w:shd w:fill="CCEEFF" w:val="clear"/>
            <w:vAlign w:val="center"/>
          </w:tcPr>
          <w:p>
            <w:pPr>
              <w:pStyle w:val="TableContents"/>
              <w:bidi w:val="0"/>
              <w:spacing w:before="0" w:after="283"/>
              <w:jc w:val="left"/>
              <w:rPr/>
            </w:pPr>
            <w:hyperlink w:anchor="a_068">
              <w:r>
                <w:rPr>
                  <w:rStyle w:val="InternetLink"/>
                  <w:rFonts w:ascii="Times New Roman;Times;Serif" w:hAnsi="Times New Roman;Times;Serif"/>
                  <w:b w:val="false"/>
                  <w:i w:val="false"/>
                  <w:caps w:val="false"/>
                  <w:smallCaps w:val="false"/>
                  <w:sz w:val="20"/>
                </w:rPr>
                <w:t>ARTICLE 10 SUCCESSOR ENTITY</w:t>
              </w:r>
            </w:hyperlink>
          </w:p>
        </w:tc>
        <w:tc>
          <w:tcPr>
            <w:tcW w:w="605" w:type="dxa"/>
            <w:tcBorders/>
            <w:shd w:fill="CCEEFF" w:val="clear"/>
            <w:vAlign w:val="center"/>
          </w:tcPr>
          <w:p>
            <w:pPr>
              <w:pStyle w:val="TableContents"/>
              <w:bidi w:val="0"/>
              <w:spacing w:before="0" w:after="283"/>
              <w:ind w:left="0" w:right="0" w:firstLine="18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39</w:t>
            </w:r>
          </w:p>
        </w:tc>
      </w:tr>
      <w:tr>
        <w:trPr/>
        <w:tc>
          <w:tcPr>
            <w:tcW w:w="172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54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5" w:type="dxa"/>
            <w:tcBorders/>
            <w:shd w:fill="FFFFFF" w:val="clear"/>
            <w:vAlign w:val="center"/>
          </w:tcPr>
          <w:p>
            <w:pPr>
              <w:pStyle w:val="TableContents"/>
              <w:bidi w:val="0"/>
              <w:spacing w:before="0" w:after="283"/>
              <w:ind w:left="0" w:right="0" w:firstLine="180"/>
              <w:jc w:val="center"/>
              <w:rPr>
                <w:caps w:val="false"/>
                <w:smallCaps w:val="false"/>
              </w:rPr>
            </w:pPr>
            <w:r>
              <w:rPr>
                <w:caps w:val="false"/>
                <w:smallCaps w:val="false"/>
              </w:rPr>
              <w:t> </w:t>
            </w:r>
          </w:p>
        </w:tc>
      </w:tr>
      <w:tr>
        <w:trPr/>
        <w:tc>
          <w:tcPr>
            <w:tcW w:w="172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10.01</w:t>
            </w:r>
          </w:p>
        </w:tc>
        <w:tc>
          <w:tcPr>
            <w:tcW w:w="6549" w:type="dxa"/>
            <w:tcBorders/>
            <w:shd w:fill="CCEEFF" w:val="clear"/>
            <w:vAlign w:val="center"/>
          </w:tcPr>
          <w:p>
            <w:pPr>
              <w:pStyle w:val="TableContents"/>
              <w:bidi w:val="0"/>
              <w:spacing w:before="0" w:after="283"/>
              <w:jc w:val="left"/>
              <w:rPr/>
            </w:pPr>
            <w:hyperlink w:anchor="a_069">
              <w:r>
                <w:rPr>
                  <w:rStyle w:val="InternetLink"/>
                  <w:rFonts w:ascii="Times New Roman;Times;Serif" w:hAnsi="Times New Roman;Times;Serif"/>
                  <w:b w:val="false"/>
                  <w:i w:val="false"/>
                  <w:caps w:val="false"/>
                  <w:smallCaps w:val="false"/>
                  <w:sz w:val="20"/>
                </w:rPr>
                <w:t>Company May Consolidate, Etc.</w:t>
              </w:r>
            </w:hyperlink>
          </w:p>
        </w:tc>
        <w:tc>
          <w:tcPr>
            <w:tcW w:w="605" w:type="dxa"/>
            <w:tcBorders/>
            <w:shd w:fill="CCEEFF" w:val="clear"/>
            <w:vAlign w:val="center"/>
          </w:tcPr>
          <w:p>
            <w:pPr>
              <w:pStyle w:val="TableContents"/>
              <w:bidi w:val="0"/>
              <w:spacing w:before="0" w:after="283"/>
              <w:ind w:left="0" w:right="0" w:firstLine="18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39</w:t>
            </w:r>
          </w:p>
        </w:tc>
      </w:tr>
      <w:tr>
        <w:trPr/>
        <w:tc>
          <w:tcPr>
            <w:tcW w:w="172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54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5" w:type="dxa"/>
            <w:tcBorders/>
            <w:shd w:fill="FFFFFF" w:val="clear"/>
            <w:vAlign w:val="center"/>
          </w:tcPr>
          <w:p>
            <w:pPr>
              <w:pStyle w:val="TableContents"/>
              <w:bidi w:val="0"/>
              <w:spacing w:before="0" w:after="283"/>
              <w:ind w:left="0" w:right="0" w:firstLine="180"/>
              <w:jc w:val="center"/>
              <w:rPr>
                <w:caps w:val="false"/>
                <w:smallCaps w:val="false"/>
              </w:rPr>
            </w:pPr>
            <w:r>
              <w:rPr>
                <w:caps w:val="false"/>
                <w:smallCaps w:val="false"/>
              </w:rPr>
              <w:t> </w:t>
            </w:r>
          </w:p>
        </w:tc>
      </w:tr>
      <w:tr>
        <w:trPr/>
        <w:tc>
          <w:tcPr>
            <w:tcW w:w="172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10.02</w:t>
            </w:r>
          </w:p>
        </w:tc>
        <w:tc>
          <w:tcPr>
            <w:tcW w:w="6549" w:type="dxa"/>
            <w:tcBorders/>
            <w:shd w:fill="CCEEFF" w:val="clear"/>
            <w:vAlign w:val="center"/>
          </w:tcPr>
          <w:p>
            <w:pPr>
              <w:pStyle w:val="TableContents"/>
              <w:bidi w:val="0"/>
              <w:spacing w:before="0" w:after="283"/>
              <w:jc w:val="left"/>
              <w:rPr/>
            </w:pPr>
            <w:hyperlink w:anchor="a_070">
              <w:r>
                <w:rPr>
                  <w:rStyle w:val="InternetLink"/>
                  <w:rFonts w:ascii="Times New Roman;Times;Serif" w:hAnsi="Times New Roman;Times;Serif"/>
                  <w:b w:val="false"/>
                  <w:i w:val="false"/>
                  <w:caps w:val="false"/>
                  <w:smallCaps w:val="false"/>
                  <w:sz w:val="20"/>
                </w:rPr>
                <w:t>Successor Entity Substituted</w:t>
              </w:r>
            </w:hyperlink>
          </w:p>
        </w:tc>
        <w:tc>
          <w:tcPr>
            <w:tcW w:w="605" w:type="dxa"/>
            <w:tcBorders/>
            <w:shd w:fill="CCEEFF" w:val="clear"/>
            <w:vAlign w:val="center"/>
          </w:tcPr>
          <w:p>
            <w:pPr>
              <w:pStyle w:val="TableContents"/>
              <w:bidi w:val="0"/>
              <w:spacing w:before="0" w:after="283"/>
              <w:ind w:left="0" w:right="0" w:firstLine="18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40</w:t>
            </w:r>
          </w:p>
        </w:tc>
      </w:tr>
      <w:tr>
        <w:trPr/>
        <w:tc>
          <w:tcPr>
            <w:tcW w:w="172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54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5" w:type="dxa"/>
            <w:tcBorders/>
            <w:shd w:fill="FFFFFF" w:val="clear"/>
            <w:vAlign w:val="center"/>
          </w:tcPr>
          <w:p>
            <w:pPr>
              <w:pStyle w:val="TableContents"/>
              <w:bidi w:val="0"/>
              <w:spacing w:before="0" w:after="283"/>
              <w:ind w:left="0" w:right="0" w:firstLine="180"/>
              <w:jc w:val="center"/>
              <w:rPr>
                <w:caps w:val="false"/>
                <w:smallCaps w:val="false"/>
              </w:rPr>
            </w:pPr>
            <w:r>
              <w:rPr>
                <w:caps w:val="false"/>
                <w:smallCaps w:val="false"/>
              </w:rPr>
              <w:t> </w:t>
            </w:r>
          </w:p>
        </w:tc>
      </w:tr>
      <w:tr>
        <w:trPr/>
        <w:tc>
          <w:tcPr>
            <w:tcW w:w="172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10.03</w:t>
            </w:r>
          </w:p>
        </w:tc>
        <w:tc>
          <w:tcPr>
            <w:tcW w:w="6549" w:type="dxa"/>
            <w:tcBorders/>
            <w:shd w:fill="CCEEFF" w:val="clear"/>
            <w:vAlign w:val="center"/>
          </w:tcPr>
          <w:p>
            <w:pPr>
              <w:pStyle w:val="TableContents"/>
              <w:bidi w:val="0"/>
              <w:spacing w:before="0" w:after="283"/>
              <w:jc w:val="left"/>
              <w:rPr/>
            </w:pPr>
            <w:hyperlink w:anchor="a_071">
              <w:r>
                <w:rPr>
                  <w:rStyle w:val="InternetLink"/>
                  <w:rFonts w:ascii="Times New Roman;Times;Serif" w:hAnsi="Times New Roman;Times;Serif"/>
                  <w:b w:val="false"/>
                  <w:i w:val="false"/>
                  <w:caps w:val="false"/>
                  <w:smallCaps w:val="false"/>
                  <w:sz w:val="20"/>
                </w:rPr>
                <w:t>Evidence of Consolidation, Etc. to Trustee</w:t>
              </w:r>
            </w:hyperlink>
          </w:p>
        </w:tc>
        <w:tc>
          <w:tcPr>
            <w:tcW w:w="605" w:type="dxa"/>
            <w:tcBorders/>
            <w:shd w:fill="CCEEFF" w:val="clear"/>
            <w:vAlign w:val="center"/>
          </w:tcPr>
          <w:p>
            <w:pPr>
              <w:pStyle w:val="TableContents"/>
              <w:bidi w:val="0"/>
              <w:spacing w:before="0" w:after="283"/>
              <w:ind w:left="0" w:right="0" w:firstLine="18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40</w:t>
            </w:r>
          </w:p>
        </w:tc>
      </w:tr>
      <w:tr>
        <w:trPr/>
        <w:tc>
          <w:tcPr>
            <w:tcW w:w="172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54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5"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r>
      <w:tr>
        <w:trPr/>
        <w:tc>
          <w:tcPr>
            <w:tcW w:w="8269" w:type="dxa"/>
            <w:gridSpan w:val="2"/>
            <w:tcBorders/>
            <w:shd w:fill="CCEEFF" w:val="clear"/>
            <w:vAlign w:val="center"/>
          </w:tcPr>
          <w:p>
            <w:pPr>
              <w:pStyle w:val="TableContents"/>
              <w:bidi w:val="0"/>
              <w:spacing w:before="0" w:after="283"/>
              <w:jc w:val="left"/>
              <w:rPr/>
            </w:pPr>
            <w:hyperlink w:anchor="a_072">
              <w:r>
                <w:rPr>
                  <w:rStyle w:val="InternetLink"/>
                  <w:rFonts w:ascii="Times New Roman;Times;Serif" w:hAnsi="Times New Roman;Times;Serif"/>
                  <w:b w:val="false"/>
                  <w:i w:val="false"/>
                  <w:caps w:val="false"/>
                  <w:smallCaps w:val="false"/>
                  <w:sz w:val="20"/>
                </w:rPr>
                <w:t>ARTICLE 11 SATISFACTION AND DISCHARGE</w:t>
              </w:r>
            </w:hyperlink>
          </w:p>
        </w:tc>
        <w:tc>
          <w:tcPr>
            <w:tcW w:w="605" w:type="dxa"/>
            <w:tcBorders/>
            <w:shd w:fill="CCEEFF" w:val="clear"/>
            <w:vAlign w:val="center"/>
          </w:tcPr>
          <w:p>
            <w:pPr>
              <w:pStyle w:val="TableContents"/>
              <w:bidi w:val="0"/>
              <w:spacing w:before="0" w:after="283"/>
              <w:ind w:left="0" w:right="0" w:firstLine="18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40</w:t>
            </w:r>
          </w:p>
        </w:tc>
      </w:tr>
      <w:tr>
        <w:trPr/>
        <w:tc>
          <w:tcPr>
            <w:tcW w:w="172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54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5" w:type="dxa"/>
            <w:tcBorders/>
            <w:shd w:fill="FFFFFF" w:val="clear"/>
            <w:vAlign w:val="center"/>
          </w:tcPr>
          <w:p>
            <w:pPr>
              <w:pStyle w:val="TableContents"/>
              <w:bidi w:val="0"/>
              <w:spacing w:before="0" w:after="283"/>
              <w:ind w:left="0" w:right="0" w:firstLine="180"/>
              <w:jc w:val="center"/>
              <w:rPr>
                <w:caps w:val="false"/>
                <w:smallCaps w:val="false"/>
              </w:rPr>
            </w:pPr>
            <w:r>
              <w:rPr>
                <w:caps w:val="false"/>
                <w:smallCaps w:val="false"/>
              </w:rPr>
              <w:t> </w:t>
            </w:r>
          </w:p>
        </w:tc>
      </w:tr>
      <w:tr>
        <w:trPr/>
        <w:tc>
          <w:tcPr>
            <w:tcW w:w="172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11.01</w:t>
            </w:r>
          </w:p>
        </w:tc>
        <w:tc>
          <w:tcPr>
            <w:tcW w:w="6549" w:type="dxa"/>
            <w:tcBorders/>
            <w:shd w:fill="CCEEFF" w:val="clear"/>
            <w:vAlign w:val="center"/>
          </w:tcPr>
          <w:p>
            <w:pPr>
              <w:pStyle w:val="TableContents"/>
              <w:bidi w:val="0"/>
              <w:spacing w:before="0" w:after="283"/>
              <w:jc w:val="left"/>
              <w:rPr/>
            </w:pPr>
            <w:hyperlink w:anchor="a_073">
              <w:r>
                <w:rPr>
                  <w:rStyle w:val="InternetLink"/>
                  <w:rFonts w:ascii="Times New Roman;Times;Serif" w:hAnsi="Times New Roman;Times;Serif"/>
                  <w:b w:val="false"/>
                  <w:i w:val="false"/>
                  <w:caps w:val="false"/>
                  <w:smallCaps w:val="false"/>
                  <w:sz w:val="20"/>
                </w:rPr>
                <w:t>Satisfaction and Discharge of Indenture</w:t>
              </w:r>
            </w:hyperlink>
          </w:p>
        </w:tc>
        <w:tc>
          <w:tcPr>
            <w:tcW w:w="605" w:type="dxa"/>
            <w:tcBorders/>
            <w:shd w:fill="CCEEFF" w:val="clear"/>
            <w:vAlign w:val="center"/>
          </w:tcPr>
          <w:p>
            <w:pPr>
              <w:pStyle w:val="TableContents"/>
              <w:bidi w:val="0"/>
              <w:spacing w:before="0" w:after="283"/>
              <w:ind w:left="0" w:right="0" w:firstLine="18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40</w:t>
            </w:r>
          </w:p>
        </w:tc>
      </w:tr>
      <w:tr>
        <w:trPr/>
        <w:tc>
          <w:tcPr>
            <w:tcW w:w="172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54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5" w:type="dxa"/>
            <w:tcBorders/>
            <w:shd w:fill="FFFFFF" w:val="clear"/>
            <w:vAlign w:val="center"/>
          </w:tcPr>
          <w:p>
            <w:pPr>
              <w:pStyle w:val="TableContents"/>
              <w:bidi w:val="0"/>
              <w:spacing w:before="0" w:after="283"/>
              <w:ind w:left="0" w:right="0" w:firstLine="180"/>
              <w:jc w:val="center"/>
              <w:rPr>
                <w:caps w:val="false"/>
                <w:smallCaps w:val="false"/>
              </w:rPr>
            </w:pPr>
            <w:r>
              <w:rPr>
                <w:caps w:val="false"/>
                <w:smallCaps w:val="false"/>
              </w:rPr>
              <w:t> </w:t>
            </w:r>
          </w:p>
        </w:tc>
      </w:tr>
      <w:tr>
        <w:trPr/>
        <w:tc>
          <w:tcPr>
            <w:tcW w:w="172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11.02</w:t>
            </w:r>
          </w:p>
        </w:tc>
        <w:tc>
          <w:tcPr>
            <w:tcW w:w="6549" w:type="dxa"/>
            <w:tcBorders/>
            <w:shd w:fill="CCEEFF" w:val="clear"/>
            <w:vAlign w:val="center"/>
          </w:tcPr>
          <w:p>
            <w:pPr>
              <w:pStyle w:val="TableContents"/>
              <w:bidi w:val="0"/>
              <w:spacing w:before="0" w:after="283"/>
              <w:jc w:val="left"/>
              <w:rPr/>
            </w:pPr>
            <w:hyperlink w:anchor="a_074">
              <w:r>
                <w:rPr>
                  <w:rStyle w:val="InternetLink"/>
                  <w:rFonts w:ascii="Times New Roman;Times;Serif" w:hAnsi="Times New Roman;Times;Serif"/>
                  <w:b w:val="false"/>
                  <w:i w:val="false"/>
                  <w:caps w:val="false"/>
                  <w:smallCaps w:val="false"/>
                  <w:sz w:val="20"/>
                </w:rPr>
                <w:t>Discharge of Obligations</w:t>
              </w:r>
            </w:hyperlink>
          </w:p>
        </w:tc>
        <w:tc>
          <w:tcPr>
            <w:tcW w:w="605" w:type="dxa"/>
            <w:tcBorders/>
            <w:shd w:fill="CCEEFF" w:val="clear"/>
            <w:vAlign w:val="center"/>
          </w:tcPr>
          <w:p>
            <w:pPr>
              <w:pStyle w:val="TableContents"/>
              <w:bidi w:val="0"/>
              <w:spacing w:before="0" w:after="283"/>
              <w:ind w:left="0" w:right="0" w:firstLine="18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41</w:t>
            </w:r>
          </w:p>
        </w:tc>
      </w:tr>
      <w:tr>
        <w:trPr/>
        <w:tc>
          <w:tcPr>
            <w:tcW w:w="172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54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5" w:type="dxa"/>
            <w:tcBorders/>
            <w:shd w:fill="FFFFFF" w:val="clear"/>
            <w:vAlign w:val="center"/>
          </w:tcPr>
          <w:p>
            <w:pPr>
              <w:pStyle w:val="TableContents"/>
              <w:bidi w:val="0"/>
              <w:spacing w:before="0" w:after="283"/>
              <w:ind w:left="0" w:right="0" w:firstLine="180"/>
              <w:jc w:val="center"/>
              <w:rPr>
                <w:caps w:val="false"/>
                <w:smallCaps w:val="false"/>
              </w:rPr>
            </w:pPr>
            <w:r>
              <w:rPr>
                <w:caps w:val="false"/>
                <w:smallCaps w:val="false"/>
              </w:rPr>
              <w:t> </w:t>
            </w:r>
          </w:p>
        </w:tc>
      </w:tr>
      <w:tr>
        <w:trPr/>
        <w:tc>
          <w:tcPr>
            <w:tcW w:w="172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11.03</w:t>
            </w:r>
          </w:p>
        </w:tc>
        <w:tc>
          <w:tcPr>
            <w:tcW w:w="6549" w:type="dxa"/>
            <w:tcBorders/>
            <w:shd w:fill="CCEEFF" w:val="clear"/>
            <w:vAlign w:val="center"/>
          </w:tcPr>
          <w:p>
            <w:pPr>
              <w:pStyle w:val="TableContents"/>
              <w:bidi w:val="0"/>
              <w:spacing w:before="0" w:after="283"/>
              <w:jc w:val="left"/>
              <w:rPr/>
            </w:pPr>
            <w:hyperlink w:anchor="a_075">
              <w:r>
                <w:rPr>
                  <w:rStyle w:val="InternetLink"/>
                  <w:rFonts w:ascii="Times New Roman;Times;Serif" w:hAnsi="Times New Roman;Times;Serif"/>
                  <w:b w:val="false"/>
                  <w:i w:val="false"/>
                  <w:caps w:val="false"/>
                  <w:smallCaps w:val="false"/>
                  <w:sz w:val="20"/>
                </w:rPr>
                <w:t>Deposited Moneys to be Held in Trust</w:t>
              </w:r>
            </w:hyperlink>
          </w:p>
        </w:tc>
        <w:tc>
          <w:tcPr>
            <w:tcW w:w="605" w:type="dxa"/>
            <w:tcBorders/>
            <w:shd w:fill="CCEEFF" w:val="clear"/>
            <w:vAlign w:val="center"/>
          </w:tcPr>
          <w:p>
            <w:pPr>
              <w:pStyle w:val="TableContents"/>
              <w:bidi w:val="0"/>
              <w:spacing w:before="0" w:after="283"/>
              <w:ind w:left="0" w:right="0" w:firstLine="18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41</w:t>
            </w:r>
          </w:p>
        </w:tc>
      </w:tr>
      <w:tr>
        <w:trPr/>
        <w:tc>
          <w:tcPr>
            <w:tcW w:w="172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54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5" w:type="dxa"/>
            <w:tcBorders/>
            <w:shd w:fill="FFFFFF" w:val="clear"/>
            <w:vAlign w:val="center"/>
          </w:tcPr>
          <w:p>
            <w:pPr>
              <w:pStyle w:val="TableContents"/>
              <w:bidi w:val="0"/>
              <w:spacing w:before="0" w:after="283"/>
              <w:ind w:left="0" w:right="0" w:firstLine="180"/>
              <w:jc w:val="center"/>
              <w:rPr>
                <w:caps w:val="false"/>
                <w:smallCaps w:val="false"/>
              </w:rPr>
            </w:pPr>
            <w:r>
              <w:rPr>
                <w:caps w:val="false"/>
                <w:smallCaps w:val="false"/>
              </w:rPr>
              <w:t> </w:t>
            </w:r>
          </w:p>
        </w:tc>
      </w:tr>
      <w:tr>
        <w:trPr/>
        <w:tc>
          <w:tcPr>
            <w:tcW w:w="172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11.04</w:t>
            </w:r>
          </w:p>
        </w:tc>
        <w:tc>
          <w:tcPr>
            <w:tcW w:w="6549" w:type="dxa"/>
            <w:tcBorders/>
            <w:shd w:fill="CCEEFF" w:val="clear"/>
            <w:vAlign w:val="center"/>
          </w:tcPr>
          <w:p>
            <w:pPr>
              <w:pStyle w:val="TableContents"/>
              <w:bidi w:val="0"/>
              <w:spacing w:before="0" w:after="283"/>
              <w:jc w:val="left"/>
              <w:rPr/>
            </w:pPr>
            <w:hyperlink w:anchor="a_076">
              <w:r>
                <w:rPr>
                  <w:rStyle w:val="InternetLink"/>
                  <w:rFonts w:ascii="Times New Roman;Times;Serif" w:hAnsi="Times New Roman;Times;Serif"/>
                  <w:b w:val="false"/>
                  <w:i w:val="false"/>
                  <w:caps w:val="false"/>
                  <w:smallCaps w:val="false"/>
                  <w:sz w:val="20"/>
                </w:rPr>
                <w:t>Payment of Moneys Held by Paying Agents</w:t>
              </w:r>
            </w:hyperlink>
          </w:p>
        </w:tc>
        <w:tc>
          <w:tcPr>
            <w:tcW w:w="605" w:type="dxa"/>
            <w:tcBorders/>
            <w:shd w:fill="CCEEFF" w:val="clear"/>
            <w:vAlign w:val="center"/>
          </w:tcPr>
          <w:p>
            <w:pPr>
              <w:pStyle w:val="TableContents"/>
              <w:bidi w:val="0"/>
              <w:spacing w:before="0" w:after="283"/>
              <w:ind w:left="0" w:right="0" w:firstLine="18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41</w:t>
            </w:r>
          </w:p>
        </w:tc>
      </w:tr>
      <w:tr>
        <w:trPr/>
        <w:tc>
          <w:tcPr>
            <w:tcW w:w="172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54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5" w:type="dxa"/>
            <w:tcBorders/>
            <w:shd w:fill="FFFFFF" w:val="clear"/>
            <w:vAlign w:val="center"/>
          </w:tcPr>
          <w:p>
            <w:pPr>
              <w:pStyle w:val="TableContents"/>
              <w:bidi w:val="0"/>
              <w:spacing w:before="0" w:after="283"/>
              <w:ind w:left="0" w:right="0" w:firstLine="180"/>
              <w:jc w:val="center"/>
              <w:rPr>
                <w:caps w:val="false"/>
                <w:smallCaps w:val="false"/>
              </w:rPr>
            </w:pPr>
            <w:r>
              <w:rPr>
                <w:caps w:val="false"/>
                <w:smallCaps w:val="false"/>
              </w:rPr>
              <w:t> </w:t>
            </w:r>
          </w:p>
        </w:tc>
      </w:tr>
      <w:tr>
        <w:trPr/>
        <w:tc>
          <w:tcPr>
            <w:tcW w:w="172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11.05</w:t>
            </w:r>
          </w:p>
        </w:tc>
        <w:tc>
          <w:tcPr>
            <w:tcW w:w="6549" w:type="dxa"/>
            <w:tcBorders/>
            <w:shd w:fill="CCEEFF" w:val="clear"/>
            <w:vAlign w:val="center"/>
          </w:tcPr>
          <w:p>
            <w:pPr>
              <w:pStyle w:val="TableContents"/>
              <w:bidi w:val="0"/>
              <w:spacing w:before="0" w:after="283"/>
              <w:jc w:val="left"/>
              <w:rPr/>
            </w:pPr>
            <w:hyperlink w:anchor="a_077">
              <w:r>
                <w:rPr>
                  <w:rStyle w:val="InternetLink"/>
                  <w:rFonts w:ascii="Times New Roman;Times;Serif" w:hAnsi="Times New Roman;Times;Serif"/>
                  <w:b w:val="false"/>
                  <w:i w:val="false"/>
                  <w:caps w:val="false"/>
                  <w:smallCaps w:val="false"/>
                  <w:sz w:val="20"/>
                </w:rPr>
                <w:t>Repayment to Company</w:t>
              </w:r>
            </w:hyperlink>
          </w:p>
        </w:tc>
        <w:tc>
          <w:tcPr>
            <w:tcW w:w="605" w:type="dxa"/>
            <w:tcBorders/>
            <w:shd w:fill="CCEEFF" w:val="clear"/>
            <w:vAlign w:val="center"/>
          </w:tcPr>
          <w:p>
            <w:pPr>
              <w:pStyle w:val="TableContents"/>
              <w:bidi w:val="0"/>
              <w:spacing w:before="0" w:after="283"/>
              <w:ind w:left="0" w:right="0" w:firstLine="18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42</w:t>
            </w:r>
          </w:p>
        </w:tc>
      </w:tr>
      <w:tr>
        <w:trPr/>
        <w:tc>
          <w:tcPr>
            <w:tcW w:w="172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54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5"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r>
      <w:tr>
        <w:trPr/>
        <w:tc>
          <w:tcPr>
            <w:tcW w:w="8269" w:type="dxa"/>
            <w:gridSpan w:val="2"/>
            <w:tcBorders/>
            <w:shd w:fill="CCEEFF" w:val="clear"/>
            <w:vAlign w:val="center"/>
          </w:tcPr>
          <w:p>
            <w:pPr>
              <w:pStyle w:val="TableContents"/>
              <w:bidi w:val="0"/>
              <w:spacing w:before="0" w:after="283"/>
              <w:jc w:val="left"/>
              <w:rPr/>
            </w:pPr>
            <w:hyperlink w:anchor="a_078">
              <w:r>
                <w:rPr>
                  <w:rStyle w:val="InternetLink"/>
                  <w:rFonts w:ascii="Times New Roman;Times;Serif" w:hAnsi="Times New Roman;Times;Serif"/>
                  <w:b w:val="false"/>
                  <w:i w:val="false"/>
                  <w:caps w:val="false"/>
                  <w:smallCaps w:val="false"/>
                  <w:sz w:val="20"/>
                </w:rPr>
                <w:t>ARTICLE 12 IMMUNITY OF INCORPORATORS, SHAREHOLDERS, OFFICERS AND DIRECTORS</w:t>
              </w:r>
            </w:hyperlink>
          </w:p>
        </w:tc>
        <w:tc>
          <w:tcPr>
            <w:tcW w:w="605" w:type="dxa"/>
            <w:tcBorders/>
            <w:shd w:fill="CCEEFF" w:val="clear"/>
            <w:vAlign w:val="center"/>
          </w:tcPr>
          <w:p>
            <w:pPr>
              <w:pStyle w:val="TableContents"/>
              <w:bidi w:val="0"/>
              <w:spacing w:before="0" w:after="283"/>
              <w:ind w:left="0" w:right="0" w:firstLine="18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42</w:t>
            </w:r>
          </w:p>
        </w:tc>
      </w:tr>
      <w:tr>
        <w:trPr/>
        <w:tc>
          <w:tcPr>
            <w:tcW w:w="172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54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5" w:type="dxa"/>
            <w:tcBorders/>
            <w:shd w:fill="FFFFFF" w:val="clear"/>
            <w:vAlign w:val="center"/>
          </w:tcPr>
          <w:p>
            <w:pPr>
              <w:pStyle w:val="TableContents"/>
              <w:bidi w:val="0"/>
              <w:spacing w:before="0" w:after="283"/>
              <w:ind w:left="0" w:right="0" w:firstLine="180"/>
              <w:jc w:val="center"/>
              <w:rPr>
                <w:caps w:val="false"/>
                <w:smallCaps w:val="false"/>
              </w:rPr>
            </w:pPr>
            <w:r>
              <w:rPr>
                <w:caps w:val="false"/>
                <w:smallCaps w:val="false"/>
              </w:rPr>
              <w:t> </w:t>
            </w:r>
          </w:p>
        </w:tc>
      </w:tr>
      <w:tr>
        <w:trPr/>
        <w:tc>
          <w:tcPr>
            <w:tcW w:w="172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12.01</w:t>
            </w:r>
          </w:p>
        </w:tc>
        <w:tc>
          <w:tcPr>
            <w:tcW w:w="6549" w:type="dxa"/>
            <w:tcBorders/>
            <w:shd w:fill="CCEEFF" w:val="clear"/>
            <w:vAlign w:val="center"/>
          </w:tcPr>
          <w:p>
            <w:pPr>
              <w:pStyle w:val="TableContents"/>
              <w:bidi w:val="0"/>
              <w:spacing w:before="0" w:after="283"/>
              <w:jc w:val="left"/>
              <w:rPr/>
            </w:pPr>
            <w:hyperlink w:anchor="a_079">
              <w:r>
                <w:rPr>
                  <w:rStyle w:val="InternetLink"/>
                  <w:rFonts w:ascii="Times New Roman;Times;Serif" w:hAnsi="Times New Roman;Times;Serif"/>
                  <w:b w:val="false"/>
                  <w:i w:val="false"/>
                  <w:caps w:val="false"/>
                  <w:smallCaps w:val="false"/>
                  <w:sz w:val="20"/>
                </w:rPr>
                <w:t>No Recourse</w:t>
              </w:r>
            </w:hyperlink>
          </w:p>
        </w:tc>
        <w:tc>
          <w:tcPr>
            <w:tcW w:w="605" w:type="dxa"/>
            <w:tcBorders/>
            <w:shd w:fill="CCEEFF" w:val="clear"/>
            <w:vAlign w:val="center"/>
          </w:tcPr>
          <w:p>
            <w:pPr>
              <w:pStyle w:val="TableContents"/>
              <w:bidi w:val="0"/>
              <w:spacing w:before="0" w:after="283"/>
              <w:ind w:left="0" w:right="0" w:firstLine="18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42</w:t>
            </w:r>
          </w:p>
        </w:tc>
      </w:tr>
      <w:tr>
        <w:trPr/>
        <w:tc>
          <w:tcPr>
            <w:tcW w:w="172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54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5"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r>
      <w:tr>
        <w:trPr/>
        <w:tc>
          <w:tcPr>
            <w:tcW w:w="8269" w:type="dxa"/>
            <w:gridSpan w:val="2"/>
            <w:tcBorders/>
            <w:shd w:fill="CCEEFF" w:val="clear"/>
            <w:vAlign w:val="center"/>
          </w:tcPr>
          <w:p>
            <w:pPr>
              <w:pStyle w:val="TableContents"/>
              <w:bidi w:val="0"/>
              <w:spacing w:before="0" w:after="283"/>
              <w:jc w:val="left"/>
              <w:rPr/>
            </w:pPr>
            <w:hyperlink w:anchor="a_080">
              <w:r>
                <w:rPr>
                  <w:rStyle w:val="InternetLink"/>
                  <w:rFonts w:ascii="Times New Roman;Times;Serif" w:hAnsi="Times New Roman;Times;Serif"/>
                  <w:b w:val="false"/>
                  <w:i w:val="false"/>
                  <w:caps w:val="false"/>
                  <w:smallCaps w:val="false"/>
                  <w:sz w:val="20"/>
                </w:rPr>
                <w:t>ARTICLE 13 MISCELLANEOUS PROVISIONS</w:t>
              </w:r>
            </w:hyperlink>
          </w:p>
        </w:tc>
        <w:tc>
          <w:tcPr>
            <w:tcW w:w="605" w:type="dxa"/>
            <w:tcBorders/>
            <w:shd w:fill="CCEEFF" w:val="clear"/>
            <w:vAlign w:val="center"/>
          </w:tcPr>
          <w:p>
            <w:pPr>
              <w:pStyle w:val="TableContents"/>
              <w:bidi w:val="0"/>
              <w:spacing w:before="0" w:after="283"/>
              <w:ind w:left="0" w:right="0" w:firstLine="18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43</w:t>
            </w:r>
          </w:p>
        </w:tc>
      </w:tr>
      <w:tr>
        <w:trPr/>
        <w:tc>
          <w:tcPr>
            <w:tcW w:w="172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54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5" w:type="dxa"/>
            <w:tcBorders/>
            <w:shd w:fill="FFFFFF" w:val="clear"/>
            <w:vAlign w:val="center"/>
          </w:tcPr>
          <w:p>
            <w:pPr>
              <w:pStyle w:val="TableContents"/>
              <w:bidi w:val="0"/>
              <w:spacing w:before="0" w:after="283"/>
              <w:ind w:left="0" w:right="0" w:firstLine="180"/>
              <w:jc w:val="center"/>
              <w:rPr>
                <w:caps w:val="false"/>
                <w:smallCaps w:val="false"/>
              </w:rPr>
            </w:pPr>
            <w:r>
              <w:rPr>
                <w:caps w:val="false"/>
                <w:smallCaps w:val="false"/>
              </w:rPr>
              <w:t> </w:t>
            </w:r>
          </w:p>
        </w:tc>
      </w:tr>
      <w:tr>
        <w:trPr/>
        <w:tc>
          <w:tcPr>
            <w:tcW w:w="172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13.01</w:t>
            </w:r>
          </w:p>
        </w:tc>
        <w:tc>
          <w:tcPr>
            <w:tcW w:w="6549" w:type="dxa"/>
            <w:tcBorders/>
            <w:shd w:fill="CCEEFF" w:val="clear"/>
            <w:vAlign w:val="center"/>
          </w:tcPr>
          <w:p>
            <w:pPr>
              <w:pStyle w:val="TableContents"/>
              <w:bidi w:val="0"/>
              <w:spacing w:before="0" w:after="283"/>
              <w:jc w:val="left"/>
              <w:rPr/>
            </w:pPr>
            <w:hyperlink w:anchor="a_081">
              <w:r>
                <w:rPr>
                  <w:rStyle w:val="InternetLink"/>
                  <w:rFonts w:ascii="Times New Roman;Times;Serif" w:hAnsi="Times New Roman;Times;Serif"/>
                  <w:b w:val="false"/>
                  <w:i w:val="false"/>
                  <w:caps w:val="false"/>
                  <w:smallCaps w:val="false"/>
                  <w:sz w:val="20"/>
                </w:rPr>
                <w:t>Effect on Successors and Assigns</w:t>
              </w:r>
            </w:hyperlink>
          </w:p>
        </w:tc>
        <w:tc>
          <w:tcPr>
            <w:tcW w:w="605" w:type="dxa"/>
            <w:tcBorders/>
            <w:shd w:fill="CCEEFF" w:val="clear"/>
            <w:vAlign w:val="center"/>
          </w:tcPr>
          <w:p>
            <w:pPr>
              <w:pStyle w:val="TableContents"/>
              <w:bidi w:val="0"/>
              <w:spacing w:before="0" w:after="283"/>
              <w:ind w:left="0" w:right="0" w:firstLine="18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43</w:t>
            </w:r>
          </w:p>
        </w:tc>
      </w:tr>
      <w:tr>
        <w:trPr/>
        <w:tc>
          <w:tcPr>
            <w:tcW w:w="172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54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5" w:type="dxa"/>
            <w:tcBorders/>
            <w:shd w:fill="FFFFFF" w:val="clear"/>
            <w:vAlign w:val="center"/>
          </w:tcPr>
          <w:p>
            <w:pPr>
              <w:pStyle w:val="TableContents"/>
              <w:bidi w:val="0"/>
              <w:spacing w:before="0" w:after="283"/>
              <w:ind w:left="0" w:right="0" w:firstLine="180"/>
              <w:jc w:val="center"/>
              <w:rPr>
                <w:caps w:val="false"/>
                <w:smallCaps w:val="false"/>
              </w:rPr>
            </w:pPr>
            <w:r>
              <w:rPr>
                <w:caps w:val="false"/>
                <w:smallCaps w:val="false"/>
              </w:rPr>
              <w:t> </w:t>
            </w:r>
          </w:p>
        </w:tc>
      </w:tr>
      <w:tr>
        <w:trPr/>
        <w:tc>
          <w:tcPr>
            <w:tcW w:w="172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13.02</w:t>
            </w:r>
          </w:p>
        </w:tc>
        <w:tc>
          <w:tcPr>
            <w:tcW w:w="6549" w:type="dxa"/>
            <w:tcBorders/>
            <w:shd w:fill="CCEEFF" w:val="clear"/>
            <w:vAlign w:val="center"/>
          </w:tcPr>
          <w:p>
            <w:pPr>
              <w:pStyle w:val="TableContents"/>
              <w:bidi w:val="0"/>
              <w:spacing w:before="0" w:after="283"/>
              <w:jc w:val="left"/>
              <w:rPr/>
            </w:pPr>
            <w:hyperlink w:anchor="a_082">
              <w:r>
                <w:rPr>
                  <w:rStyle w:val="InternetLink"/>
                  <w:rFonts w:ascii="Times New Roman;Times;Serif" w:hAnsi="Times New Roman;Times;Serif"/>
                  <w:b w:val="false"/>
                  <w:i w:val="false"/>
                  <w:caps w:val="false"/>
                  <w:smallCaps w:val="false"/>
                  <w:sz w:val="20"/>
                </w:rPr>
                <w:t>Actions by Successor</w:t>
              </w:r>
            </w:hyperlink>
          </w:p>
        </w:tc>
        <w:tc>
          <w:tcPr>
            <w:tcW w:w="605" w:type="dxa"/>
            <w:tcBorders/>
            <w:shd w:fill="CCEEFF" w:val="clear"/>
            <w:vAlign w:val="center"/>
          </w:tcPr>
          <w:p>
            <w:pPr>
              <w:pStyle w:val="TableContents"/>
              <w:bidi w:val="0"/>
              <w:spacing w:before="0" w:after="283"/>
              <w:ind w:left="0" w:right="0" w:firstLine="18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43</w:t>
            </w:r>
          </w:p>
        </w:tc>
      </w:tr>
      <w:tr>
        <w:trPr/>
        <w:tc>
          <w:tcPr>
            <w:tcW w:w="172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54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5" w:type="dxa"/>
            <w:tcBorders/>
            <w:shd w:fill="FFFFFF" w:val="clear"/>
            <w:vAlign w:val="center"/>
          </w:tcPr>
          <w:p>
            <w:pPr>
              <w:pStyle w:val="TableContents"/>
              <w:bidi w:val="0"/>
              <w:spacing w:before="0" w:after="283"/>
              <w:ind w:left="0" w:right="0" w:firstLine="180"/>
              <w:jc w:val="center"/>
              <w:rPr>
                <w:caps w:val="false"/>
                <w:smallCaps w:val="false"/>
              </w:rPr>
            </w:pPr>
            <w:r>
              <w:rPr>
                <w:caps w:val="false"/>
                <w:smallCaps w:val="false"/>
              </w:rPr>
              <w:t> </w:t>
            </w:r>
          </w:p>
        </w:tc>
      </w:tr>
      <w:tr>
        <w:trPr/>
        <w:tc>
          <w:tcPr>
            <w:tcW w:w="172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13.03</w:t>
            </w:r>
          </w:p>
        </w:tc>
        <w:tc>
          <w:tcPr>
            <w:tcW w:w="6549" w:type="dxa"/>
            <w:tcBorders/>
            <w:shd w:fill="CCEEFF" w:val="clear"/>
            <w:vAlign w:val="center"/>
          </w:tcPr>
          <w:p>
            <w:pPr>
              <w:pStyle w:val="TableContents"/>
              <w:bidi w:val="0"/>
              <w:spacing w:before="0" w:after="283"/>
              <w:jc w:val="left"/>
              <w:rPr/>
            </w:pPr>
            <w:hyperlink w:anchor="a_083">
              <w:r>
                <w:rPr>
                  <w:rStyle w:val="InternetLink"/>
                  <w:rFonts w:ascii="Times New Roman;Times;Serif" w:hAnsi="Times New Roman;Times;Serif"/>
                  <w:b w:val="false"/>
                  <w:i w:val="false"/>
                  <w:caps w:val="false"/>
                  <w:smallCaps w:val="false"/>
                  <w:sz w:val="20"/>
                </w:rPr>
                <w:t>Surrender of Company Powers</w:t>
              </w:r>
            </w:hyperlink>
          </w:p>
        </w:tc>
        <w:tc>
          <w:tcPr>
            <w:tcW w:w="605" w:type="dxa"/>
            <w:tcBorders/>
            <w:shd w:fill="CCEEFF" w:val="clear"/>
            <w:vAlign w:val="center"/>
          </w:tcPr>
          <w:p>
            <w:pPr>
              <w:pStyle w:val="TableContents"/>
              <w:bidi w:val="0"/>
              <w:spacing w:before="0" w:after="283"/>
              <w:ind w:left="0" w:right="0" w:firstLine="18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43</w:t>
            </w:r>
          </w:p>
        </w:tc>
      </w:tr>
      <w:tr>
        <w:trPr/>
        <w:tc>
          <w:tcPr>
            <w:tcW w:w="172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54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5" w:type="dxa"/>
            <w:tcBorders/>
            <w:shd w:fill="FFFFFF" w:val="clear"/>
            <w:vAlign w:val="center"/>
          </w:tcPr>
          <w:p>
            <w:pPr>
              <w:pStyle w:val="TableContents"/>
              <w:bidi w:val="0"/>
              <w:spacing w:before="0" w:after="283"/>
              <w:ind w:left="0" w:right="0" w:firstLine="180"/>
              <w:jc w:val="center"/>
              <w:rPr>
                <w:caps w:val="false"/>
                <w:smallCaps w:val="false"/>
              </w:rPr>
            </w:pPr>
            <w:r>
              <w:rPr>
                <w:caps w:val="false"/>
                <w:smallCaps w:val="false"/>
              </w:rPr>
              <w:t> </w:t>
            </w:r>
          </w:p>
        </w:tc>
      </w:tr>
      <w:tr>
        <w:trPr/>
        <w:tc>
          <w:tcPr>
            <w:tcW w:w="172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13.04</w:t>
            </w:r>
          </w:p>
        </w:tc>
        <w:tc>
          <w:tcPr>
            <w:tcW w:w="6549" w:type="dxa"/>
            <w:tcBorders/>
            <w:shd w:fill="CCEEFF" w:val="clear"/>
            <w:vAlign w:val="center"/>
          </w:tcPr>
          <w:p>
            <w:pPr>
              <w:pStyle w:val="TableContents"/>
              <w:bidi w:val="0"/>
              <w:spacing w:before="0" w:after="283"/>
              <w:jc w:val="left"/>
              <w:rPr/>
            </w:pPr>
            <w:hyperlink w:anchor="a_084">
              <w:r>
                <w:rPr>
                  <w:rStyle w:val="InternetLink"/>
                  <w:rFonts w:ascii="Times New Roman;Times;Serif" w:hAnsi="Times New Roman;Times;Serif"/>
                  <w:b w:val="false"/>
                  <w:i w:val="false"/>
                  <w:caps w:val="false"/>
                  <w:smallCaps w:val="false"/>
                  <w:sz w:val="20"/>
                </w:rPr>
                <w:t>Notices</w:t>
              </w:r>
            </w:hyperlink>
          </w:p>
        </w:tc>
        <w:tc>
          <w:tcPr>
            <w:tcW w:w="605" w:type="dxa"/>
            <w:tcBorders/>
            <w:shd w:fill="CCEEFF" w:val="clear"/>
            <w:vAlign w:val="center"/>
          </w:tcPr>
          <w:p>
            <w:pPr>
              <w:pStyle w:val="TableContents"/>
              <w:bidi w:val="0"/>
              <w:spacing w:before="0" w:after="283"/>
              <w:ind w:left="0" w:right="0" w:firstLine="18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43</w:t>
            </w:r>
          </w:p>
        </w:tc>
      </w:tr>
      <w:tr>
        <w:trPr/>
        <w:tc>
          <w:tcPr>
            <w:tcW w:w="172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54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5" w:type="dxa"/>
            <w:tcBorders/>
            <w:shd w:fill="FFFFFF" w:val="clear"/>
            <w:vAlign w:val="center"/>
          </w:tcPr>
          <w:p>
            <w:pPr>
              <w:pStyle w:val="TableContents"/>
              <w:bidi w:val="0"/>
              <w:spacing w:before="0" w:after="283"/>
              <w:ind w:left="0" w:right="0" w:firstLine="180"/>
              <w:jc w:val="center"/>
              <w:rPr>
                <w:caps w:val="false"/>
                <w:smallCaps w:val="false"/>
              </w:rPr>
            </w:pPr>
            <w:r>
              <w:rPr>
                <w:caps w:val="false"/>
                <w:smallCaps w:val="false"/>
              </w:rPr>
              <w:t> </w:t>
            </w:r>
          </w:p>
        </w:tc>
      </w:tr>
      <w:tr>
        <w:trPr/>
        <w:tc>
          <w:tcPr>
            <w:tcW w:w="172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13.05</w:t>
            </w:r>
          </w:p>
        </w:tc>
        <w:tc>
          <w:tcPr>
            <w:tcW w:w="6549" w:type="dxa"/>
            <w:tcBorders/>
            <w:shd w:fill="CCEEFF" w:val="clear"/>
            <w:vAlign w:val="center"/>
          </w:tcPr>
          <w:p>
            <w:pPr>
              <w:pStyle w:val="TableContents"/>
              <w:bidi w:val="0"/>
              <w:spacing w:before="0" w:after="283"/>
              <w:jc w:val="left"/>
              <w:rPr/>
            </w:pPr>
            <w:hyperlink w:anchor="a_085">
              <w:r>
                <w:rPr>
                  <w:rStyle w:val="InternetLink"/>
                  <w:rFonts w:ascii="Times New Roman;Times;Serif" w:hAnsi="Times New Roman;Times;Serif"/>
                  <w:b w:val="false"/>
                  <w:i w:val="false"/>
                  <w:caps w:val="false"/>
                  <w:smallCaps w:val="false"/>
                  <w:sz w:val="20"/>
                </w:rPr>
                <w:t>Governing Law</w:t>
              </w:r>
            </w:hyperlink>
          </w:p>
        </w:tc>
        <w:tc>
          <w:tcPr>
            <w:tcW w:w="605" w:type="dxa"/>
            <w:tcBorders/>
            <w:shd w:fill="CCEEFF" w:val="clear"/>
            <w:vAlign w:val="center"/>
          </w:tcPr>
          <w:p>
            <w:pPr>
              <w:pStyle w:val="TableContents"/>
              <w:bidi w:val="0"/>
              <w:spacing w:before="0" w:after="283"/>
              <w:ind w:left="0" w:right="0" w:firstLine="18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43</w:t>
            </w:r>
          </w:p>
        </w:tc>
      </w:tr>
      <w:tr>
        <w:trPr/>
        <w:tc>
          <w:tcPr>
            <w:tcW w:w="172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54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5" w:type="dxa"/>
            <w:tcBorders/>
            <w:shd w:fill="FFFFFF" w:val="clear"/>
            <w:vAlign w:val="center"/>
          </w:tcPr>
          <w:p>
            <w:pPr>
              <w:pStyle w:val="TableContents"/>
              <w:bidi w:val="0"/>
              <w:spacing w:before="0" w:after="283"/>
              <w:ind w:left="0" w:right="0" w:firstLine="180"/>
              <w:jc w:val="center"/>
              <w:rPr>
                <w:caps w:val="false"/>
                <w:smallCaps w:val="false"/>
              </w:rPr>
            </w:pPr>
            <w:r>
              <w:rPr>
                <w:caps w:val="false"/>
                <w:smallCaps w:val="false"/>
              </w:rPr>
              <w:t> </w:t>
            </w:r>
          </w:p>
        </w:tc>
      </w:tr>
      <w:tr>
        <w:trPr/>
        <w:tc>
          <w:tcPr>
            <w:tcW w:w="172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13.06</w:t>
            </w:r>
          </w:p>
        </w:tc>
        <w:tc>
          <w:tcPr>
            <w:tcW w:w="6549" w:type="dxa"/>
            <w:tcBorders/>
            <w:shd w:fill="CCEEFF" w:val="clear"/>
            <w:vAlign w:val="center"/>
          </w:tcPr>
          <w:p>
            <w:pPr>
              <w:pStyle w:val="TableContents"/>
              <w:bidi w:val="0"/>
              <w:spacing w:before="0" w:after="283"/>
              <w:jc w:val="left"/>
              <w:rPr/>
            </w:pPr>
            <w:hyperlink w:anchor="a_086">
              <w:r>
                <w:rPr>
                  <w:rStyle w:val="InternetLink"/>
                  <w:rFonts w:ascii="Times New Roman;Times;Serif" w:hAnsi="Times New Roman;Times;Serif"/>
                  <w:b w:val="false"/>
                  <w:i w:val="false"/>
                  <w:caps w:val="false"/>
                  <w:smallCaps w:val="false"/>
                  <w:sz w:val="20"/>
                </w:rPr>
                <w:t>Treatment of Securities as Debt</w:t>
              </w:r>
            </w:hyperlink>
          </w:p>
        </w:tc>
        <w:tc>
          <w:tcPr>
            <w:tcW w:w="605" w:type="dxa"/>
            <w:tcBorders/>
            <w:shd w:fill="CCEEFF" w:val="clear"/>
            <w:vAlign w:val="center"/>
          </w:tcPr>
          <w:p>
            <w:pPr>
              <w:pStyle w:val="TableContents"/>
              <w:bidi w:val="0"/>
              <w:spacing w:before="0" w:after="283"/>
              <w:ind w:left="0" w:right="0" w:firstLine="18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44</w:t>
            </w:r>
          </w:p>
        </w:tc>
      </w:tr>
      <w:tr>
        <w:trPr/>
        <w:tc>
          <w:tcPr>
            <w:tcW w:w="172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54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5" w:type="dxa"/>
            <w:tcBorders/>
            <w:shd w:fill="FFFFFF" w:val="clear"/>
            <w:vAlign w:val="center"/>
          </w:tcPr>
          <w:p>
            <w:pPr>
              <w:pStyle w:val="TableContents"/>
              <w:bidi w:val="0"/>
              <w:spacing w:before="0" w:after="283"/>
              <w:ind w:left="0" w:right="0" w:firstLine="180"/>
              <w:jc w:val="center"/>
              <w:rPr>
                <w:caps w:val="false"/>
                <w:smallCaps w:val="false"/>
              </w:rPr>
            </w:pPr>
            <w:r>
              <w:rPr>
                <w:caps w:val="false"/>
                <w:smallCaps w:val="false"/>
              </w:rPr>
              <w:t> </w:t>
            </w:r>
          </w:p>
        </w:tc>
      </w:tr>
      <w:tr>
        <w:trPr/>
        <w:tc>
          <w:tcPr>
            <w:tcW w:w="172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13.07</w:t>
            </w:r>
          </w:p>
        </w:tc>
        <w:tc>
          <w:tcPr>
            <w:tcW w:w="6549" w:type="dxa"/>
            <w:tcBorders/>
            <w:shd w:fill="CCEEFF" w:val="clear"/>
            <w:vAlign w:val="center"/>
          </w:tcPr>
          <w:p>
            <w:pPr>
              <w:pStyle w:val="TableContents"/>
              <w:bidi w:val="0"/>
              <w:spacing w:before="0" w:after="283"/>
              <w:jc w:val="left"/>
              <w:rPr/>
            </w:pPr>
            <w:hyperlink w:anchor="a_087">
              <w:r>
                <w:rPr>
                  <w:rStyle w:val="InternetLink"/>
                  <w:rFonts w:ascii="Times New Roman;Times;Serif" w:hAnsi="Times New Roman;Times;Serif"/>
                  <w:b w:val="false"/>
                  <w:i w:val="false"/>
                  <w:caps w:val="false"/>
                  <w:smallCaps w:val="false"/>
                  <w:sz w:val="20"/>
                </w:rPr>
                <w:t>Certificates and Opinions as to Conditions Precedent</w:t>
              </w:r>
            </w:hyperlink>
          </w:p>
        </w:tc>
        <w:tc>
          <w:tcPr>
            <w:tcW w:w="605" w:type="dxa"/>
            <w:tcBorders/>
            <w:shd w:fill="CCEEFF" w:val="clear"/>
            <w:vAlign w:val="center"/>
          </w:tcPr>
          <w:p>
            <w:pPr>
              <w:pStyle w:val="TableContents"/>
              <w:bidi w:val="0"/>
              <w:spacing w:before="0" w:after="283"/>
              <w:ind w:left="0" w:right="0" w:firstLine="18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44</w:t>
            </w:r>
          </w:p>
        </w:tc>
      </w:tr>
      <w:tr>
        <w:trPr/>
        <w:tc>
          <w:tcPr>
            <w:tcW w:w="172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54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5" w:type="dxa"/>
            <w:tcBorders/>
            <w:shd w:fill="FFFFFF" w:val="clear"/>
            <w:vAlign w:val="center"/>
          </w:tcPr>
          <w:p>
            <w:pPr>
              <w:pStyle w:val="TableContents"/>
              <w:bidi w:val="0"/>
              <w:spacing w:before="0" w:after="283"/>
              <w:ind w:left="0" w:right="0" w:firstLine="180"/>
              <w:jc w:val="center"/>
              <w:rPr>
                <w:caps w:val="false"/>
                <w:smallCaps w:val="false"/>
              </w:rPr>
            </w:pPr>
            <w:r>
              <w:rPr>
                <w:caps w:val="false"/>
                <w:smallCaps w:val="false"/>
              </w:rPr>
              <w:t> </w:t>
            </w:r>
          </w:p>
        </w:tc>
      </w:tr>
      <w:tr>
        <w:trPr/>
        <w:tc>
          <w:tcPr>
            <w:tcW w:w="172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13.08</w:t>
            </w:r>
          </w:p>
        </w:tc>
        <w:tc>
          <w:tcPr>
            <w:tcW w:w="6549" w:type="dxa"/>
            <w:tcBorders/>
            <w:shd w:fill="CCEEFF" w:val="clear"/>
            <w:vAlign w:val="center"/>
          </w:tcPr>
          <w:p>
            <w:pPr>
              <w:pStyle w:val="TableContents"/>
              <w:bidi w:val="0"/>
              <w:spacing w:before="0" w:after="283"/>
              <w:jc w:val="left"/>
              <w:rPr/>
            </w:pPr>
            <w:hyperlink w:anchor="a_088">
              <w:r>
                <w:rPr>
                  <w:rStyle w:val="InternetLink"/>
                  <w:rFonts w:ascii="Times New Roman;Times;Serif" w:hAnsi="Times New Roman;Times;Serif"/>
                  <w:b w:val="false"/>
                  <w:i w:val="false"/>
                  <w:caps w:val="false"/>
                  <w:smallCaps w:val="false"/>
                  <w:sz w:val="20"/>
                </w:rPr>
                <w:t>Payments on Business Days</w:t>
              </w:r>
            </w:hyperlink>
          </w:p>
        </w:tc>
        <w:tc>
          <w:tcPr>
            <w:tcW w:w="605" w:type="dxa"/>
            <w:tcBorders/>
            <w:shd w:fill="CCEEFF" w:val="clear"/>
            <w:vAlign w:val="center"/>
          </w:tcPr>
          <w:p>
            <w:pPr>
              <w:pStyle w:val="TableContents"/>
              <w:bidi w:val="0"/>
              <w:spacing w:before="0" w:after="283"/>
              <w:ind w:left="0" w:right="0" w:firstLine="18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44</w:t>
            </w:r>
          </w:p>
        </w:tc>
      </w:tr>
      <w:tr>
        <w:trPr/>
        <w:tc>
          <w:tcPr>
            <w:tcW w:w="172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54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5" w:type="dxa"/>
            <w:tcBorders/>
            <w:shd w:fill="FFFFFF" w:val="clear"/>
            <w:vAlign w:val="center"/>
          </w:tcPr>
          <w:p>
            <w:pPr>
              <w:pStyle w:val="TableContents"/>
              <w:bidi w:val="0"/>
              <w:spacing w:before="0" w:after="283"/>
              <w:ind w:left="0" w:right="0" w:firstLine="180"/>
              <w:jc w:val="center"/>
              <w:rPr>
                <w:caps w:val="false"/>
                <w:smallCaps w:val="false"/>
              </w:rPr>
            </w:pPr>
            <w:r>
              <w:rPr>
                <w:caps w:val="false"/>
                <w:smallCaps w:val="false"/>
              </w:rPr>
              <w:t> </w:t>
            </w:r>
          </w:p>
        </w:tc>
      </w:tr>
      <w:tr>
        <w:trPr/>
        <w:tc>
          <w:tcPr>
            <w:tcW w:w="172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13.09</w:t>
            </w:r>
          </w:p>
        </w:tc>
        <w:tc>
          <w:tcPr>
            <w:tcW w:w="6549" w:type="dxa"/>
            <w:tcBorders/>
            <w:shd w:fill="CCEEFF" w:val="clear"/>
            <w:vAlign w:val="center"/>
          </w:tcPr>
          <w:p>
            <w:pPr>
              <w:pStyle w:val="TableContents"/>
              <w:bidi w:val="0"/>
              <w:spacing w:before="0" w:after="283"/>
              <w:jc w:val="left"/>
              <w:rPr/>
            </w:pPr>
            <w:hyperlink w:anchor="a_089">
              <w:r>
                <w:rPr>
                  <w:rStyle w:val="InternetLink"/>
                  <w:rFonts w:ascii="Times New Roman;Times;Serif" w:hAnsi="Times New Roman;Times;Serif"/>
                  <w:b w:val="false"/>
                  <w:i w:val="false"/>
                  <w:caps w:val="false"/>
                  <w:smallCaps w:val="false"/>
                  <w:sz w:val="20"/>
                </w:rPr>
                <w:t>Conflict with Trust Indenture Act</w:t>
              </w:r>
            </w:hyperlink>
          </w:p>
        </w:tc>
        <w:tc>
          <w:tcPr>
            <w:tcW w:w="605" w:type="dxa"/>
            <w:tcBorders/>
            <w:shd w:fill="CCEEFF" w:val="clear"/>
            <w:vAlign w:val="center"/>
          </w:tcPr>
          <w:p>
            <w:pPr>
              <w:pStyle w:val="TableContents"/>
              <w:bidi w:val="0"/>
              <w:spacing w:before="0" w:after="283"/>
              <w:ind w:left="0" w:right="0" w:firstLine="18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44</w:t>
            </w:r>
          </w:p>
        </w:tc>
      </w:tr>
      <w:tr>
        <w:trPr/>
        <w:tc>
          <w:tcPr>
            <w:tcW w:w="172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54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5" w:type="dxa"/>
            <w:tcBorders/>
            <w:shd w:fill="FFFFFF" w:val="clear"/>
            <w:vAlign w:val="center"/>
          </w:tcPr>
          <w:p>
            <w:pPr>
              <w:pStyle w:val="TableContents"/>
              <w:bidi w:val="0"/>
              <w:spacing w:before="0" w:after="283"/>
              <w:ind w:left="0" w:right="0" w:firstLine="180"/>
              <w:jc w:val="center"/>
              <w:rPr>
                <w:caps w:val="false"/>
                <w:smallCaps w:val="false"/>
              </w:rPr>
            </w:pPr>
            <w:r>
              <w:rPr>
                <w:caps w:val="false"/>
                <w:smallCaps w:val="false"/>
              </w:rPr>
              <w:t> </w:t>
            </w:r>
          </w:p>
        </w:tc>
      </w:tr>
      <w:tr>
        <w:trPr/>
        <w:tc>
          <w:tcPr>
            <w:tcW w:w="172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13.10</w:t>
            </w:r>
          </w:p>
        </w:tc>
        <w:tc>
          <w:tcPr>
            <w:tcW w:w="6549" w:type="dxa"/>
            <w:tcBorders/>
            <w:shd w:fill="CCEEFF" w:val="clear"/>
            <w:vAlign w:val="center"/>
          </w:tcPr>
          <w:p>
            <w:pPr>
              <w:pStyle w:val="TableContents"/>
              <w:bidi w:val="0"/>
              <w:spacing w:before="0" w:after="283"/>
              <w:jc w:val="left"/>
              <w:rPr/>
            </w:pPr>
            <w:hyperlink w:anchor="a_090">
              <w:r>
                <w:rPr>
                  <w:rStyle w:val="InternetLink"/>
                  <w:rFonts w:ascii="Times New Roman;Times;Serif" w:hAnsi="Times New Roman;Times;Serif"/>
                  <w:b w:val="false"/>
                  <w:i w:val="false"/>
                  <w:caps w:val="false"/>
                  <w:smallCaps w:val="false"/>
                  <w:sz w:val="20"/>
                </w:rPr>
                <w:t>Indenture and Securities Solely Corporate Obligations</w:t>
              </w:r>
            </w:hyperlink>
          </w:p>
        </w:tc>
        <w:tc>
          <w:tcPr>
            <w:tcW w:w="605" w:type="dxa"/>
            <w:tcBorders/>
            <w:shd w:fill="CCEEFF" w:val="clear"/>
            <w:vAlign w:val="center"/>
          </w:tcPr>
          <w:p>
            <w:pPr>
              <w:pStyle w:val="TableContents"/>
              <w:bidi w:val="0"/>
              <w:spacing w:before="0" w:after="283"/>
              <w:ind w:left="0" w:right="0" w:firstLine="18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45</w:t>
            </w:r>
          </w:p>
        </w:tc>
      </w:tr>
      <w:tr>
        <w:trPr/>
        <w:tc>
          <w:tcPr>
            <w:tcW w:w="172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54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5" w:type="dxa"/>
            <w:tcBorders/>
            <w:shd w:fill="FFFFFF" w:val="clear"/>
            <w:vAlign w:val="center"/>
          </w:tcPr>
          <w:p>
            <w:pPr>
              <w:pStyle w:val="TableContents"/>
              <w:bidi w:val="0"/>
              <w:spacing w:before="0" w:after="283"/>
              <w:ind w:left="0" w:right="0" w:firstLine="180"/>
              <w:jc w:val="center"/>
              <w:rPr>
                <w:caps w:val="false"/>
                <w:smallCaps w:val="false"/>
              </w:rPr>
            </w:pPr>
            <w:r>
              <w:rPr>
                <w:caps w:val="false"/>
                <w:smallCaps w:val="false"/>
              </w:rPr>
              <w:t> </w:t>
            </w:r>
          </w:p>
        </w:tc>
      </w:tr>
      <w:tr>
        <w:trPr/>
        <w:tc>
          <w:tcPr>
            <w:tcW w:w="172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13.11</w:t>
            </w:r>
          </w:p>
        </w:tc>
        <w:tc>
          <w:tcPr>
            <w:tcW w:w="6549" w:type="dxa"/>
            <w:tcBorders/>
            <w:shd w:fill="CCEEFF" w:val="clear"/>
            <w:vAlign w:val="center"/>
          </w:tcPr>
          <w:p>
            <w:pPr>
              <w:pStyle w:val="TableContents"/>
              <w:bidi w:val="0"/>
              <w:spacing w:before="0" w:after="283"/>
              <w:jc w:val="left"/>
              <w:rPr/>
            </w:pPr>
            <w:hyperlink w:anchor="a_091">
              <w:r>
                <w:rPr>
                  <w:rStyle w:val="InternetLink"/>
                  <w:rFonts w:ascii="Times New Roman;Times;Serif" w:hAnsi="Times New Roman;Times;Serif"/>
                  <w:b w:val="false"/>
                  <w:i w:val="false"/>
                  <w:caps w:val="false"/>
                  <w:smallCaps w:val="false"/>
                  <w:sz w:val="20"/>
                </w:rPr>
                <w:t>Counterparts</w:t>
              </w:r>
            </w:hyperlink>
          </w:p>
        </w:tc>
        <w:tc>
          <w:tcPr>
            <w:tcW w:w="605" w:type="dxa"/>
            <w:tcBorders/>
            <w:shd w:fill="CCEEFF" w:val="clear"/>
            <w:vAlign w:val="center"/>
          </w:tcPr>
          <w:p>
            <w:pPr>
              <w:pStyle w:val="TableContents"/>
              <w:bidi w:val="0"/>
              <w:spacing w:before="0" w:after="283"/>
              <w:ind w:left="0" w:right="0" w:firstLine="18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45</w:t>
            </w:r>
          </w:p>
        </w:tc>
      </w:tr>
      <w:tr>
        <w:trPr/>
        <w:tc>
          <w:tcPr>
            <w:tcW w:w="172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54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5" w:type="dxa"/>
            <w:tcBorders/>
            <w:shd w:fill="FFFFFF" w:val="clear"/>
            <w:vAlign w:val="center"/>
          </w:tcPr>
          <w:p>
            <w:pPr>
              <w:pStyle w:val="TableContents"/>
              <w:bidi w:val="0"/>
              <w:spacing w:before="0" w:after="283"/>
              <w:ind w:left="0" w:right="0" w:firstLine="180"/>
              <w:jc w:val="center"/>
              <w:rPr>
                <w:caps w:val="false"/>
                <w:smallCaps w:val="false"/>
              </w:rPr>
            </w:pPr>
            <w:r>
              <w:rPr>
                <w:caps w:val="false"/>
                <w:smallCaps w:val="false"/>
              </w:rPr>
              <w:t> </w:t>
            </w:r>
          </w:p>
        </w:tc>
      </w:tr>
      <w:tr>
        <w:trPr/>
        <w:tc>
          <w:tcPr>
            <w:tcW w:w="172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13.12</w:t>
            </w:r>
          </w:p>
        </w:tc>
        <w:tc>
          <w:tcPr>
            <w:tcW w:w="6549" w:type="dxa"/>
            <w:tcBorders/>
            <w:shd w:fill="CCEEFF" w:val="clear"/>
            <w:vAlign w:val="center"/>
          </w:tcPr>
          <w:p>
            <w:pPr>
              <w:pStyle w:val="TableContents"/>
              <w:bidi w:val="0"/>
              <w:spacing w:before="0" w:after="283"/>
              <w:jc w:val="left"/>
              <w:rPr/>
            </w:pPr>
            <w:hyperlink w:anchor="a_092">
              <w:r>
                <w:rPr>
                  <w:rStyle w:val="InternetLink"/>
                  <w:rFonts w:ascii="Times New Roman;Times;Serif" w:hAnsi="Times New Roman;Times;Serif"/>
                  <w:b w:val="false"/>
                  <w:i w:val="false"/>
                  <w:caps w:val="false"/>
                  <w:smallCaps w:val="false"/>
                  <w:sz w:val="20"/>
                </w:rPr>
                <w:t>Separability</w:t>
              </w:r>
            </w:hyperlink>
          </w:p>
        </w:tc>
        <w:tc>
          <w:tcPr>
            <w:tcW w:w="605" w:type="dxa"/>
            <w:tcBorders/>
            <w:shd w:fill="CCEEFF" w:val="clear"/>
            <w:vAlign w:val="center"/>
          </w:tcPr>
          <w:p>
            <w:pPr>
              <w:pStyle w:val="TableContents"/>
              <w:bidi w:val="0"/>
              <w:spacing w:before="0" w:after="283"/>
              <w:ind w:left="0" w:right="0" w:firstLine="18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45</w:t>
            </w:r>
          </w:p>
        </w:tc>
      </w:tr>
      <w:tr>
        <w:trPr/>
        <w:tc>
          <w:tcPr>
            <w:tcW w:w="172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54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5" w:type="dxa"/>
            <w:tcBorders/>
            <w:shd w:fill="FFFFFF" w:val="clear"/>
            <w:vAlign w:val="center"/>
          </w:tcPr>
          <w:p>
            <w:pPr>
              <w:pStyle w:val="TableContents"/>
              <w:bidi w:val="0"/>
              <w:spacing w:before="0" w:after="283"/>
              <w:ind w:left="0" w:right="0" w:firstLine="180"/>
              <w:jc w:val="center"/>
              <w:rPr>
                <w:caps w:val="false"/>
                <w:smallCaps w:val="false"/>
              </w:rPr>
            </w:pPr>
            <w:r>
              <w:rPr>
                <w:caps w:val="false"/>
                <w:smallCaps w:val="false"/>
              </w:rPr>
              <w:t> </w:t>
            </w:r>
          </w:p>
        </w:tc>
      </w:tr>
      <w:tr>
        <w:trPr/>
        <w:tc>
          <w:tcPr>
            <w:tcW w:w="172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13.13</w:t>
            </w:r>
          </w:p>
        </w:tc>
        <w:tc>
          <w:tcPr>
            <w:tcW w:w="6549" w:type="dxa"/>
            <w:tcBorders/>
            <w:shd w:fill="CCEEFF" w:val="clear"/>
            <w:vAlign w:val="center"/>
          </w:tcPr>
          <w:p>
            <w:pPr>
              <w:pStyle w:val="TableContents"/>
              <w:bidi w:val="0"/>
              <w:spacing w:before="0" w:after="283"/>
              <w:jc w:val="left"/>
              <w:rPr/>
            </w:pPr>
            <w:hyperlink w:anchor="a_093">
              <w:r>
                <w:rPr>
                  <w:rStyle w:val="InternetLink"/>
                  <w:rFonts w:ascii="Times New Roman;Times;Serif" w:hAnsi="Times New Roman;Times;Serif"/>
                  <w:b w:val="false"/>
                  <w:i w:val="false"/>
                  <w:caps w:val="false"/>
                  <w:smallCaps w:val="false"/>
                  <w:sz w:val="20"/>
                </w:rPr>
                <w:t>Compliance Certificates</w:t>
              </w:r>
            </w:hyperlink>
          </w:p>
        </w:tc>
        <w:tc>
          <w:tcPr>
            <w:tcW w:w="60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45</w:t>
            </w:r>
          </w:p>
        </w:tc>
      </w:tr>
    </w:tbl>
    <w:p>
      <w:pPr>
        <w:pStyle w:val="TextBody"/>
        <w:bidi w:val="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33"/>
        <w:gridCol w:w="9934"/>
      </w:tblGrid>
      <w:tr>
        <w:trPr/>
        <w:tc>
          <w:tcPr>
            <w:tcW w:w="38"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w:t>
            </w:r>
          </w:p>
        </w:tc>
        <w:tc>
          <w:tcPr>
            <w:tcW w:w="9934"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This Table of Contents does not constitute part of the Indenture and shall not have any bearing on the interpretation of any of its terms or provisions.</w:t>
            </w:r>
          </w:p>
        </w:tc>
      </w:tr>
    </w:tbl>
    <w:p>
      <w:pPr>
        <w:pStyle w:val="TextBody"/>
        <w:bidi w:val="0"/>
        <w:jc w:val="both"/>
        <w:rPr>
          <w:caps w:val="false"/>
          <w:smallCaps w:val="false"/>
        </w:rPr>
      </w:pPr>
      <w:r>
        <w:rPr>
          <w:caps w:val="false"/>
          <w:smallCaps w:val="false"/>
        </w:rPr>
        <w:t> </w:t>
      </w:r>
    </w:p>
    <w:p>
      <w:pPr>
        <w:pStyle w:val="TextBody"/>
        <w:bidi w:val="0"/>
        <w:spacing w:before="0" w:after="0"/>
        <w:jc w:val="center"/>
        <w:rPr>
          <w:bdr w:val="single" w:sz="12" w:space="1" w:color="000000"/>
        </w:rPr>
      </w:pPr>
      <w:r>
        <w:rPr>
          <w:bdr w:val="single" w:sz="12" w:space="1" w:color="000000"/>
        </w:rPr>
        <w:t>iv</w:t>
      </w:r>
    </w:p>
    <w:p>
      <w:pPr>
        <w:pStyle w:val="TextBody"/>
        <w:bidi w:val="0"/>
        <w:spacing w:before="0" w:after="0"/>
        <w:ind w:left="0" w:right="0" w:hanging="0"/>
        <w:jc w:val="left"/>
        <w:rPr/>
      </w:pPr>
      <w:r>
        <w:rPr/>
        <w:t> </w:t>
      </w:r>
    </w:p>
    <w:p>
      <w:pPr>
        <w:pStyle w:val="TextBody"/>
        <w:bidi w:val="0"/>
        <w:jc w:val="both"/>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INDENTURE</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INDENTURE</w:t>
      </w:r>
      <w:r>
        <w:rPr>
          <w:rFonts w:ascii="Times New Roman;Times;Serif" w:hAnsi="Times New Roman;Times;Serif"/>
          <w:b w:val="false"/>
          <w:i w:val="false"/>
          <w:caps w:val="false"/>
          <w:smallCaps w:val="false"/>
          <w:sz w:val="20"/>
        </w:rPr>
        <w:t>, dated as of [●], 20[●], among Niki BioSolutions, Inc., a Delaware company and, subject to the provisions of Article Ten, shall also include its successors and assigns (the “Company”), and [TRUSTEE], as trustee (the “Trustee”).</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WHEREAS</w:t>
      </w:r>
      <w:r>
        <w:rPr>
          <w:rFonts w:ascii="Times New Roman;Times;Serif" w:hAnsi="Times New Roman;Times;Serif"/>
          <w:b w:val="false"/>
          <w:i w:val="false"/>
          <w:caps w:val="false"/>
          <w:smallCaps w:val="false"/>
          <w:sz w:val="20"/>
        </w:rPr>
        <w:t>, for its lawful corporate purposes, the Company has duly authorized the execution and delivery of this Indenture to provide for the issuance of debt securities (hereinafter referred to as the “Securities”), in an unlimited aggregate principal amount to be issued from time to time in one or more series as in this Indenture provided, as registered Securities without coupons, to be authenticated by the certificate of the Trustee;</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WHEREAS</w:t>
      </w:r>
      <w:r>
        <w:rPr>
          <w:rFonts w:ascii="Times New Roman;Times;Serif" w:hAnsi="Times New Roman;Times;Serif"/>
          <w:b w:val="false"/>
          <w:i w:val="false"/>
          <w:caps w:val="false"/>
          <w:smallCaps w:val="false"/>
          <w:sz w:val="20"/>
        </w:rPr>
        <w:t>, to provide the terms and conditions upon which the Securities are to be authenticated, issued and delivered, the Company has duly authorized the execution of this Indenture; and</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WHEREAS</w:t>
      </w:r>
      <w:r>
        <w:rPr>
          <w:rFonts w:ascii="Times New Roman;Times;Serif" w:hAnsi="Times New Roman;Times;Serif"/>
          <w:b w:val="false"/>
          <w:i w:val="false"/>
          <w:caps w:val="false"/>
          <w:smallCaps w:val="false"/>
          <w:sz w:val="20"/>
        </w:rPr>
        <w:t>, all things necessary to make this Indenture a valid agreement of the Company, in accordance with its terms, have been done.</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NOW, THEREFORE</w:t>
      </w:r>
      <w:r>
        <w:rPr>
          <w:rFonts w:ascii="Times New Roman;Times;Serif" w:hAnsi="Times New Roman;Times;Serif"/>
          <w:b w:val="false"/>
          <w:i w:val="false"/>
          <w:caps w:val="false"/>
          <w:smallCaps w:val="false"/>
          <w:sz w:val="20"/>
        </w:rPr>
        <w:t>, in consideration of the premises and the purchase of the Securities by the holders thereof, it is mutually covenanted and agreed as follows for the equal and ratable benefit of the holders of Securities:</w:t>
      </w:r>
    </w:p>
    <w:p>
      <w:pPr>
        <w:pStyle w:val="TextBody"/>
        <w:bidi w:val="0"/>
        <w:jc w:val="center"/>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0"/>
        </w:rPr>
      </w:pPr>
      <w:bookmarkStart w:id="17" w:name="a_0011"/>
      <w:bookmarkEnd w:id="17"/>
      <w:r>
        <w:rPr>
          <w:rFonts w:ascii="Times New Roman;Times;Serif" w:hAnsi="Times New Roman;Times;Serif"/>
          <w:b/>
          <w:i w:val="false"/>
          <w:caps w:val="false"/>
          <w:smallCaps w:val="false"/>
          <w:sz w:val="20"/>
        </w:rPr>
        <w:t>ARTICLE 1</w:t>
      </w:r>
    </w:p>
    <w:p>
      <w:pPr>
        <w:pStyle w:val="TextBody"/>
        <w:bidi w:val="0"/>
        <w:jc w:val="center"/>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DEFINITIONS</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bookmarkStart w:id="18" w:name="a_0021"/>
      <w:bookmarkEnd w:id="18"/>
      <w:r>
        <w:rPr>
          <w:rFonts w:ascii="Times New Roman;Times;Serif" w:hAnsi="Times New Roman;Times;Serif"/>
          <w:b/>
          <w:i w:val="false"/>
          <w:caps w:val="false"/>
          <w:smallCaps w:val="false"/>
          <w:sz w:val="20"/>
        </w:rPr>
        <w:t>Section 1.01 Definitions of Terms.</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terms defined in this Section (except as in this Indenture or any indenture supplemental hereto otherwise expressly provided or unless the context otherwise requires) for all purposes of this Indenture and of any indenture supplemental hereto shall have the respective meanings specified in this Section and shall include the plural as well as the singular. All other terms used in this Indenture that are defined in the Trust Indenture Act of 1939, as amended, or that are by reference in such Act defined in the Securities Act of 1933, as amended (except as herein or any indenture supplemental hereto otherwise expressly provided or unless the context otherwise requires), shall have the meanings assigned to such terms in said Trust Indenture Act and in said Securities Act as in force at the date of the execution of this instrument.</w:t>
      </w:r>
    </w:p>
    <w:p>
      <w:pPr>
        <w:pStyle w:val="TextBody"/>
        <w:bidi w:val="0"/>
        <w:jc w:val="both"/>
        <w:rPr>
          <w:caps w:val="false"/>
          <w:smallCaps w:val="false"/>
        </w:rPr>
      </w:pPr>
      <w:r>
        <w:rPr>
          <w:caps w:val="false"/>
          <w:smallCaps w:val="false"/>
        </w:rPr>
        <w:t> </w:t>
      </w:r>
    </w:p>
    <w:p>
      <w:pPr>
        <w:pStyle w:val="TextBody"/>
        <w:bidi w:val="0"/>
        <w:jc w:val="both"/>
        <w:rPr>
          <w:caps w:val="false"/>
          <w:smallCaps w:val="false"/>
        </w:rPr>
      </w:pPr>
      <w:r>
        <w:rPr>
          <w:caps w:val="false"/>
          <w:smallCaps w:val="false"/>
        </w:rPr>
        <w:t>“</w:t>
      </w:r>
      <w:r>
        <w:rPr>
          <w:rFonts w:ascii="Times New Roman;Times;Serif" w:hAnsi="Times New Roman;Times;Serif"/>
          <w:b/>
          <w:i/>
          <w:caps w:val="false"/>
          <w:smallCaps w:val="false"/>
          <w:sz w:val="20"/>
        </w:rPr>
        <w:t>Authenticating Agent</w:t>
      </w:r>
      <w:r>
        <w:rPr>
          <w:rFonts w:ascii="Times New Roman;Times;Serif" w:hAnsi="Times New Roman;Times;Serif"/>
          <w:b w:val="false"/>
          <w:i w:val="false"/>
          <w:caps w:val="false"/>
          <w:smallCaps w:val="false"/>
          <w:sz w:val="20"/>
        </w:rPr>
        <w:t>” means an authenticating agent with respect to all or any of the series of Securities appointed by the Trustee pursuant to Section 2.10.</w:t>
      </w:r>
    </w:p>
    <w:p>
      <w:pPr>
        <w:pStyle w:val="TextBody"/>
        <w:bidi w:val="0"/>
        <w:jc w:val="both"/>
        <w:rPr>
          <w:caps w:val="false"/>
          <w:smallCaps w:val="false"/>
        </w:rPr>
      </w:pPr>
      <w:r>
        <w:rPr>
          <w:caps w:val="false"/>
          <w:smallCaps w:val="false"/>
        </w:rPr>
        <w:t> </w:t>
      </w:r>
    </w:p>
    <w:p>
      <w:pPr>
        <w:pStyle w:val="TextBody"/>
        <w:bidi w:val="0"/>
        <w:jc w:val="both"/>
        <w:rPr>
          <w:caps w:val="false"/>
          <w:smallCaps w:val="false"/>
        </w:rPr>
      </w:pPr>
      <w:r>
        <w:rPr>
          <w:caps w:val="false"/>
          <w:smallCaps w:val="false"/>
        </w:rPr>
        <w:t>“</w:t>
      </w:r>
      <w:r>
        <w:rPr>
          <w:rFonts w:ascii="Times New Roman;Times;Serif" w:hAnsi="Times New Roman;Times;Serif"/>
          <w:b/>
          <w:i/>
          <w:caps w:val="false"/>
          <w:smallCaps w:val="false"/>
          <w:sz w:val="20"/>
        </w:rPr>
        <w:t>Bankruptcy Law</w:t>
      </w:r>
      <w:r>
        <w:rPr>
          <w:rFonts w:ascii="Times New Roman;Times;Serif" w:hAnsi="Times New Roman;Times;Serif"/>
          <w:b w:val="false"/>
          <w:i w:val="false"/>
          <w:caps w:val="false"/>
          <w:smallCaps w:val="false"/>
          <w:sz w:val="20"/>
        </w:rPr>
        <w:t>” means Title 11, U.S. Code, or any similar federal or state law for the relief of debtors.</w:t>
      </w:r>
    </w:p>
    <w:p>
      <w:pPr>
        <w:pStyle w:val="TextBody"/>
        <w:bidi w:val="0"/>
        <w:jc w:val="both"/>
        <w:rPr>
          <w:caps w:val="false"/>
          <w:smallCaps w:val="false"/>
        </w:rPr>
      </w:pPr>
      <w:r>
        <w:rPr>
          <w:caps w:val="false"/>
          <w:smallCaps w:val="false"/>
        </w:rPr>
        <w:t> </w:t>
      </w:r>
    </w:p>
    <w:p>
      <w:pPr>
        <w:pStyle w:val="TextBody"/>
        <w:bidi w:val="0"/>
        <w:jc w:val="both"/>
        <w:rPr>
          <w:caps w:val="false"/>
          <w:smallCaps w:val="false"/>
        </w:rPr>
      </w:pPr>
      <w:r>
        <w:rPr>
          <w:caps w:val="false"/>
          <w:smallCaps w:val="false"/>
        </w:rPr>
        <w:t>“</w:t>
      </w:r>
      <w:r>
        <w:rPr>
          <w:rFonts w:ascii="Times New Roman;Times;Serif" w:hAnsi="Times New Roman;Times;Serif"/>
          <w:b/>
          <w:i/>
          <w:caps w:val="false"/>
          <w:smallCaps w:val="false"/>
          <w:sz w:val="20"/>
        </w:rPr>
        <w:t>Board of Directors</w:t>
      </w:r>
      <w:r>
        <w:rPr>
          <w:rFonts w:ascii="Times New Roman;Times;Serif" w:hAnsi="Times New Roman;Times;Serif"/>
          <w:b w:val="false"/>
          <w:i w:val="false"/>
          <w:caps w:val="false"/>
          <w:smallCaps w:val="false"/>
          <w:sz w:val="20"/>
        </w:rPr>
        <w:t>” means the Board of Directors of the Company or any duly authorized committee of such Board.</w:t>
      </w:r>
    </w:p>
    <w:p>
      <w:pPr>
        <w:pStyle w:val="TextBody"/>
        <w:bidi w:val="0"/>
        <w:jc w:val="both"/>
        <w:rPr>
          <w:caps w:val="false"/>
          <w:smallCaps w:val="false"/>
        </w:rPr>
      </w:pPr>
      <w:r>
        <w:rPr>
          <w:caps w:val="false"/>
          <w:smallCaps w:val="false"/>
        </w:rPr>
        <w:t> </w:t>
      </w:r>
    </w:p>
    <w:p>
      <w:pPr>
        <w:pStyle w:val="TextBody"/>
        <w:bidi w:val="0"/>
        <w:spacing w:before="0" w:after="0"/>
        <w:jc w:val="center"/>
        <w:rPr>
          <w:bdr w:val="single" w:sz="12" w:space="1" w:color="000000"/>
        </w:rPr>
      </w:pPr>
      <w:r>
        <w:rPr>
          <w:bdr w:val="single" w:sz="12" w:space="1" w:color="000000"/>
        </w:rPr>
        <w:t>1</w:t>
      </w:r>
    </w:p>
    <w:p>
      <w:pPr>
        <w:pStyle w:val="TextBody"/>
        <w:bidi w:val="0"/>
        <w:spacing w:before="0" w:after="0"/>
        <w:ind w:left="0" w:right="0" w:hanging="0"/>
        <w:jc w:val="left"/>
        <w:rPr/>
      </w:pPr>
      <w:r>
        <w:rPr/>
        <w:t> </w:t>
      </w:r>
    </w:p>
    <w:p>
      <w:pPr>
        <w:pStyle w:val="TextBody"/>
        <w:bidi w:val="0"/>
        <w:jc w:val="both"/>
        <w:rPr>
          <w:caps w:val="false"/>
          <w:smallCaps w:val="false"/>
        </w:rPr>
      </w:pPr>
      <w:r>
        <w:rPr>
          <w:caps w:val="false"/>
          <w:smallCaps w:val="false"/>
        </w:rPr>
        <w:t> </w:t>
      </w:r>
    </w:p>
    <w:p>
      <w:pPr>
        <w:pStyle w:val="TextBody"/>
        <w:bidi w:val="0"/>
        <w:jc w:val="both"/>
        <w:rPr>
          <w:caps w:val="false"/>
          <w:smallCaps w:val="false"/>
        </w:rPr>
      </w:pPr>
      <w:r>
        <w:rPr>
          <w:caps w:val="false"/>
          <w:smallCaps w:val="false"/>
        </w:rPr>
        <w:t>“</w:t>
      </w:r>
      <w:r>
        <w:rPr>
          <w:rFonts w:ascii="Times New Roman;Times;Serif" w:hAnsi="Times New Roman;Times;Serif"/>
          <w:b/>
          <w:i/>
          <w:caps w:val="false"/>
          <w:smallCaps w:val="false"/>
          <w:sz w:val="20"/>
        </w:rPr>
        <w:t>Board Resolution</w:t>
      </w:r>
      <w:r>
        <w:rPr>
          <w:rFonts w:ascii="Times New Roman;Times;Serif" w:hAnsi="Times New Roman;Times;Serif"/>
          <w:b w:val="false"/>
          <w:i w:val="false"/>
          <w:caps w:val="false"/>
          <w:smallCaps w:val="false"/>
          <w:sz w:val="20"/>
        </w:rPr>
        <w:t>” means a copy of a resolution certified by the Secretary or an Assistant Secretary of the Company to have been duly adopted by the Board of Directors and to be in full force and effect on the date of such certification.</w:t>
      </w:r>
    </w:p>
    <w:p>
      <w:pPr>
        <w:pStyle w:val="TextBody"/>
        <w:bidi w:val="0"/>
        <w:jc w:val="both"/>
        <w:rPr>
          <w:caps w:val="false"/>
          <w:smallCaps w:val="false"/>
        </w:rPr>
      </w:pPr>
      <w:r>
        <w:rPr>
          <w:caps w:val="false"/>
          <w:smallCaps w:val="false"/>
        </w:rPr>
        <w:t> </w:t>
      </w:r>
    </w:p>
    <w:p>
      <w:pPr>
        <w:pStyle w:val="TextBody"/>
        <w:bidi w:val="0"/>
        <w:jc w:val="both"/>
        <w:rPr>
          <w:caps w:val="false"/>
          <w:smallCaps w:val="false"/>
        </w:rPr>
      </w:pPr>
      <w:r>
        <w:rPr>
          <w:caps w:val="false"/>
          <w:smallCaps w:val="false"/>
        </w:rPr>
        <w:t>“</w:t>
      </w:r>
      <w:r>
        <w:rPr>
          <w:rFonts w:ascii="Times New Roman;Times;Serif" w:hAnsi="Times New Roman;Times;Serif"/>
          <w:b/>
          <w:i/>
          <w:caps w:val="false"/>
          <w:smallCaps w:val="false"/>
          <w:sz w:val="20"/>
        </w:rPr>
        <w:t>Business Day</w:t>
      </w:r>
      <w:r>
        <w:rPr>
          <w:rFonts w:ascii="Times New Roman;Times;Serif" w:hAnsi="Times New Roman;Times;Serif"/>
          <w:b w:val="false"/>
          <w:i w:val="false"/>
          <w:caps w:val="false"/>
          <w:smallCaps w:val="false"/>
          <w:sz w:val="20"/>
        </w:rPr>
        <w:t>” means, with respect to any series of Securities, any day other than a day on which federal or state banking institutions in the Borough of Manhattan, the City of New York, or in the city of the Corporate Trust Office of the Trustee, are authorized or obligated by law, executive order or regulation to close.</w:t>
      </w:r>
    </w:p>
    <w:p>
      <w:pPr>
        <w:pStyle w:val="TextBody"/>
        <w:bidi w:val="0"/>
        <w:jc w:val="both"/>
        <w:rPr>
          <w:caps w:val="false"/>
          <w:smallCaps w:val="false"/>
        </w:rPr>
      </w:pPr>
      <w:r>
        <w:rPr>
          <w:caps w:val="false"/>
          <w:smallCaps w:val="false"/>
        </w:rPr>
        <w:t> </w:t>
      </w:r>
    </w:p>
    <w:p>
      <w:pPr>
        <w:pStyle w:val="TextBody"/>
        <w:bidi w:val="0"/>
        <w:jc w:val="both"/>
        <w:rPr>
          <w:caps w:val="false"/>
          <w:smallCaps w:val="false"/>
        </w:rPr>
      </w:pPr>
      <w:r>
        <w:rPr>
          <w:caps w:val="false"/>
          <w:smallCaps w:val="false"/>
        </w:rPr>
        <w:t>“</w:t>
      </w:r>
      <w:r>
        <w:rPr>
          <w:rFonts w:ascii="Times New Roman;Times;Serif" w:hAnsi="Times New Roman;Times;Serif"/>
          <w:b/>
          <w:i/>
          <w:caps w:val="false"/>
          <w:smallCaps w:val="false"/>
          <w:sz w:val="20"/>
        </w:rPr>
        <w:t>Certificate</w:t>
      </w:r>
      <w:r>
        <w:rPr>
          <w:rFonts w:ascii="Times New Roman;Times;Serif" w:hAnsi="Times New Roman;Times;Serif"/>
          <w:b w:val="false"/>
          <w:i w:val="false"/>
          <w:caps w:val="false"/>
          <w:smallCaps w:val="false"/>
          <w:sz w:val="20"/>
        </w:rPr>
        <w:t>” means a certificate signed by any Officer. The Certificate need not comply with the provisions of Section 13.07.</w:t>
      </w:r>
    </w:p>
    <w:p>
      <w:pPr>
        <w:pStyle w:val="TextBody"/>
        <w:bidi w:val="0"/>
        <w:jc w:val="both"/>
        <w:rPr>
          <w:caps w:val="false"/>
          <w:smallCaps w:val="false"/>
        </w:rPr>
      </w:pPr>
      <w:r>
        <w:rPr>
          <w:caps w:val="false"/>
          <w:smallCaps w:val="false"/>
        </w:rPr>
        <w:t> </w:t>
      </w:r>
    </w:p>
    <w:p>
      <w:pPr>
        <w:pStyle w:val="TextBody"/>
        <w:bidi w:val="0"/>
        <w:jc w:val="both"/>
        <w:rPr>
          <w:caps w:val="false"/>
          <w:smallCaps w:val="false"/>
        </w:rPr>
      </w:pPr>
      <w:r>
        <w:rPr>
          <w:caps w:val="false"/>
          <w:smallCaps w:val="false"/>
        </w:rPr>
        <w:t>“</w:t>
      </w:r>
      <w:r>
        <w:rPr>
          <w:rFonts w:ascii="Times New Roman;Times;Serif" w:hAnsi="Times New Roman;Times;Serif"/>
          <w:b/>
          <w:i/>
          <w:caps w:val="false"/>
          <w:smallCaps w:val="false"/>
          <w:sz w:val="20"/>
        </w:rPr>
        <w:t>Corporate Trust Office</w:t>
      </w:r>
      <w:r>
        <w:rPr>
          <w:rFonts w:ascii="Times New Roman;Times;Serif" w:hAnsi="Times New Roman;Times;Serif"/>
          <w:b w:val="false"/>
          <w:i w:val="false"/>
          <w:caps w:val="false"/>
          <w:smallCaps w:val="false"/>
          <w:sz w:val="20"/>
        </w:rPr>
        <w:t>” means the office of the Trustee at which, at any particular time, its corporate trust business shall be principally administered, which office at the date hereof is located at .</w:t>
      </w:r>
    </w:p>
    <w:p>
      <w:pPr>
        <w:pStyle w:val="TextBody"/>
        <w:bidi w:val="0"/>
        <w:jc w:val="both"/>
        <w:rPr>
          <w:caps w:val="false"/>
          <w:smallCaps w:val="false"/>
        </w:rPr>
      </w:pPr>
      <w:r>
        <w:rPr>
          <w:caps w:val="false"/>
          <w:smallCaps w:val="false"/>
        </w:rPr>
        <w:t> </w:t>
      </w:r>
    </w:p>
    <w:p>
      <w:pPr>
        <w:pStyle w:val="TextBody"/>
        <w:bidi w:val="0"/>
        <w:jc w:val="both"/>
        <w:rPr>
          <w:caps w:val="false"/>
          <w:smallCaps w:val="false"/>
        </w:rPr>
      </w:pPr>
      <w:r>
        <w:rPr>
          <w:caps w:val="false"/>
          <w:smallCaps w:val="false"/>
        </w:rPr>
        <w:t>“</w:t>
      </w:r>
      <w:r>
        <w:rPr>
          <w:rFonts w:ascii="Times New Roman;Times;Serif" w:hAnsi="Times New Roman;Times;Serif"/>
          <w:b/>
          <w:i/>
          <w:caps w:val="false"/>
          <w:smallCaps w:val="false"/>
          <w:sz w:val="20"/>
        </w:rPr>
        <w:t>Custodian</w:t>
      </w:r>
      <w:r>
        <w:rPr>
          <w:rFonts w:ascii="Times New Roman;Times;Serif" w:hAnsi="Times New Roman;Times;Serif"/>
          <w:b w:val="false"/>
          <w:i w:val="false"/>
          <w:caps w:val="false"/>
          <w:smallCaps w:val="false"/>
          <w:sz w:val="20"/>
        </w:rPr>
        <w:t>” means any receiver, trustee, assignee, liquidator or similar official under any Bankruptcy Law.</w:t>
      </w:r>
    </w:p>
    <w:p>
      <w:pPr>
        <w:pStyle w:val="TextBody"/>
        <w:bidi w:val="0"/>
        <w:jc w:val="both"/>
        <w:rPr>
          <w:caps w:val="false"/>
          <w:smallCaps w:val="false"/>
        </w:rPr>
      </w:pPr>
      <w:r>
        <w:rPr>
          <w:caps w:val="false"/>
          <w:smallCaps w:val="false"/>
        </w:rPr>
        <w:t> </w:t>
      </w:r>
    </w:p>
    <w:p>
      <w:pPr>
        <w:pStyle w:val="TextBody"/>
        <w:bidi w:val="0"/>
        <w:jc w:val="both"/>
        <w:rPr>
          <w:caps w:val="false"/>
          <w:smallCaps w:val="false"/>
        </w:rPr>
      </w:pPr>
      <w:r>
        <w:rPr>
          <w:caps w:val="false"/>
          <w:smallCaps w:val="false"/>
        </w:rPr>
        <w:t>“</w:t>
      </w:r>
      <w:r>
        <w:rPr>
          <w:rFonts w:ascii="Times New Roman;Times;Serif" w:hAnsi="Times New Roman;Times;Serif"/>
          <w:b/>
          <w:i/>
          <w:caps w:val="false"/>
          <w:smallCaps w:val="false"/>
          <w:sz w:val="20"/>
        </w:rPr>
        <w:t>Default</w:t>
      </w:r>
      <w:r>
        <w:rPr>
          <w:rFonts w:ascii="Times New Roman;Times;Serif" w:hAnsi="Times New Roman;Times;Serif"/>
          <w:b w:val="false"/>
          <w:i w:val="false"/>
          <w:caps w:val="false"/>
          <w:smallCaps w:val="false"/>
          <w:sz w:val="20"/>
        </w:rPr>
        <w:t>” means any event, act or condition that with notice or lapse of time, or both, would constitute an Event of Default.</w:t>
      </w:r>
    </w:p>
    <w:p>
      <w:pPr>
        <w:pStyle w:val="TextBody"/>
        <w:bidi w:val="0"/>
        <w:jc w:val="both"/>
        <w:rPr>
          <w:caps w:val="false"/>
          <w:smallCaps w:val="false"/>
        </w:rPr>
      </w:pPr>
      <w:r>
        <w:rPr>
          <w:caps w:val="false"/>
          <w:smallCaps w:val="false"/>
        </w:rPr>
        <w:t> </w:t>
      </w:r>
    </w:p>
    <w:p>
      <w:pPr>
        <w:pStyle w:val="TextBody"/>
        <w:bidi w:val="0"/>
        <w:jc w:val="both"/>
        <w:rPr>
          <w:caps w:val="false"/>
          <w:smallCaps w:val="false"/>
        </w:rPr>
      </w:pPr>
      <w:r>
        <w:rPr>
          <w:caps w:val="false"/>
          <w:smallCaps w:val="false"/>
        </w:rPr>
        <w:t>“</w:t>
      </w:r>
      <w:r>
        <w:rPr>
          <w:rFonts w:ascii="Times New Roman;Times;Serif" w:hAnsi="Times New Roman;Times;Serif"/>
          <w:b/>
          <w:i/>
          <w:caps w:val="false"/>
          <w:smallCaps w:val="false"/>
          <w:sz w:val="20"/>
        </w:rPr>
        <w:t>Depositary</w:t>
      </w:r>
      <w:r>
        <w:rPr>
          <w:rFonts w:ascii="Times New Roman;Times;Serif" w:hAnsi="Times New Roman;Times;Serif"/>
          <w:b w:val="false"/>
          <w:i w:val="false"/>
          <w:caps w:val="false"/>
          <w:smallCaps w:val="false"/>
          <w:sz w:val="20"/>
        </w:rPr>
        <w:t>” means, with respect to Securities of any series for which the Company shall determine that such Securities will be issued as a Global Security, The Depository Trust Company, New York, New York, another clearing agency, or any successor registered as a clearing agency under the Securities and Exchange Act of 1934, as amended (the “Exchange Act”), or other applicable statute or regulation, which, in each case, shall be designated by the Company pursuant to either Section 2.01 or 2.11.</w:t>
      </w:r>
    </w:p>
    <w:p>
      <w:pPr>
        <w:pStyle w:val="TextBody"/>
        <w:bidi w:val="0"/>
        <w:jc w:val="both"/>
        <w:rPr>
          <w:caps w:val="false"/>
          <w:smallCaps w:val="false"/>
        </w:rPr>
      </w:pPr>
      <w:r>
        <w:rPr>
          <w:caps w:val="false"/>
          <w:smallCaps w:val="false"/>
        </w:rPr>
        <w:t> </w:t>
      </w:r>
    </w:p>
    <w:p>
      <w:pPr>
        <w:pStyle w:val="TextBody"/>
        <w:bidi w:val="0"/>
        <w:jc w:val="both"/>
        <w:rPr>
          <w:caps w:val="false"/>
          <w:smallCaps w:val="false"/>
        </w:rPr>
      </w:pPr>
      <w:r>
        <w:rPr>
          <w:caps w:val="false"/>
          <w:smallCaps w:val="false"/>
        </w:rPr>
        <w:t>“</w:t>
      </w:r>
      <w:r>
        <w:rPr>
          <w:rFonts w:ascii="Times New Roman;Times;Serif" w:hAnsi="Times New Roman;Times;Serif"/>
          <w:b/>
          <w:i/>
          <w:caps w:val="false"/>
          <w:smallCaps w:val="false"/>
          <w:sz w:val="20"/>
        </w:rPr>
        <w:t>Event of Default</w:t>
      </w:r>
      <w:r>
        <w:rPr>
          <w:rFonts w:ascii="Times New Roman;Times;Serif" w:hAnsi="Times New Roman;Times;Serif"/>
          <w:b w:val="false"/>
          <w:i w:val="false"/>
          <w:caps w:val="false"/>
          <w:smallCaps w:val="false"/>
          <w:sz w:val="20"/>
        </w:rPr>
        <w:t>” means, with respect to Securities of a particular series, any event specified in Section 6.01, continued for the period of time, if any, therein designated.</w:t>
      </w:r>
    </w:p>
    <w:p>
      <w:pPr>
        <w:pStyle w:val="TextBody"/>
        <w:bidi w:val="0"/>
        <w:jc w:val="both"/>
        <w:rPr>
          <w:caps w:val="false"/>
          <w:smallCaps w:val="false"/>
        </w:rPr>
      </w:pPr>
      <w:r>
        <w:rPr>
          <w:caps w:val="false"/>
          <w:smallCaps w:val="false"/>
        </w:rPr>
        <w:t> </w:t>
      </w:r>
    </w:p>
    <w:p>
      <w:pPr>
        <w:pStyle w:val="TextBody"/>
        <w:bidi w:val="0"/>
        <w:jc w:val="both"/>
        <w:rPr>
          <w:caps w:val="false"/>
          <w:smallCaps w:val="false"/>
        </w:rPr>
      </w:pPr>
      <w:r>
        <w:rPr>
          <w:caps w:val="false"/>
          <w:smallCaps w:val="false"/>
        </w:rPr>
        <w:t>“</w:t>
      </w:r>
      <w:r>
        <w:rPr>
          <w:rFonts w:ascii="Times New Roman;Times;Serif" w:hAnsi="Times New Roman;Times;Serif"/>
          <w:b/>
          <w:i/>
          <w:caps w:val="false"/>
          <w:smallCaps w:val="false"/>
          <w:sz w:val="20"/>
        </w:rPr>
        <w:t>Global Security</w:t>
      </w:r>
      <w:r>
        <w:rPr>
          <w:rFonts w:ascii="Times New Roman;Times;Serif" w:hAnsi="Times New Roman;Times;Serif"/>
          <w:b w:val="false"/>
          <w:i w:val="false"/>
          <w:caps w:val="false"/>
          <w:smallCaps w:val="false"/>
          <w:sz w:val="20"/>
        </w:rPr>
        <w:t>” means, with respect to any series of Securities, a Security executed by the Company and delivered by the Trustee to the Depositary or pursuant to the Depositary’s instruction, all in accordance with the Indenture, which shall be registered in the name of the Depositary or its nominee.</w:t>
      </w:r>
    </w:p>
    <w:p>
      <w:pPr>
        <w:pStyle w:val="TextBody"/>
        <w:bidi w:val="0"/>
        <w:jc w:val="both"/>
        <w:rPr>
          <w:caps w:val="false"/>
          <w:smallCaps w:val="false"/>
        </w:rPr>
      </w:pPr>
      <w:r>
        <w:rPr>
          <w:caps w:val="false"/>
          <w:smallCaps w:val="false"/>
        </w:rPr>
        <w:t> </w:t>
      </w:r>
    </w:p>
    <w:p>
      <w:pPr>
        <w:pStyle w:val="TextBody"/>
        <w:bidi w:val="0"/>
        <w:jc w:val="both"/>
        <w:rPr>
          <w:caps w:val="false"/>
          <w:smallCaps w:val="false"/>
        </w:rPr>
      </w:pPr>
      <w:r>
        <w:rPr>
          <w:caps w:val="false"/>
          <w:smallCaps w:val="false"/>
        </w:rPr>
        <w:t>“</w:t>
      </w:r>
      <w:r>
        <w:rPr>
          <w:rFonts w:ascii="Times New Roman;Times;Serif" w:hAnsi="Times New Roman;Times;Serif"/>
          <w:b/>
          <w:i/>
          <w:caps w:val="false"/>
          <w:smallCaps w:val="false"/>
          <w:sz w:val="20"/>
        </w:rPr>
        <w:t>Governmental Obligations</w:t>
      </w:r>
      <w:r>
        <w:rPr>
          <w:rFonts w:ascii="Times New Roman;Times;Serif" w:hAnsi="Times New Roman;Times;Serif"/>
          <w:b w:val="false"/>
          <w:i w:val="false"/>
          <w:caps w:val="false"/>
          <w:smallCaps w:val="false"/>
          <w:sz w:val="20"/>
        </w:rPr>
        <w:t>” means securities that are (a) direct obligations of the United States of America for the payment of which its full faith and credit is pledged or (b) obligations of a Person controlled or supervised by and acting as an agency or instrumentality of the United States of America, the payment of which is unconditionally guaranteed as a full faith and credit obligation by the United States of America that, in either case, are not callable or redeemable at the option of the issuer thereof at any time prior to the stated maturity of the Securities, and shall also include a depositary receipt issued by a bank or trust company as custodian with respect to any such Governmental Obligation or a specific payment of principal of or interest on any such Governmental Obligation held by such custodian for the account of the holder of such depositary receipt; provided, however, that (except as required by law) such custodian is not authorized to make any deduction from the amount payable to the holder of such depositary receipt from any amount received by the custodian in respect of the Governmental Obligation or the specific payment of principal of or interest on the Governmental Obligation evidenced by such depositary receipt.</w:t>
      </w:r>
    </w:p>
    <w:p>
      <w:pPr>
        <w:pStyle w:val="TextBody"/>
        <w:bidi w:val="0"/>
        <w:jc w:val="both"/>
        <w:rPr>
          <w:caps w:val="false"/>
          <w:smallCaps w:val="false"/>
        </w:rPr>
      </w:pPr>
      <w:r>
        <w:rPr>
          <w:caps w:val="false"/>
          <w:smallCaps w:val="false"/>
        </w:rPr>
        <w:t> </w:t>
      </w:r>
    </w:p>
    <w:p>
      <w:pPr>
        <w:pStyle w:val="TextBody"/>
        <w:bidi w:val="0"/>
        <w:spacing w:before="0" w:after="0"/>
        <w:jc w:val="center"/>
        <w:rPr>
          <w:bdr w:val="single" w:sz="12" w:space="1" w:color="000000"/>
        </w:rPr>
      </w:pPr>
      <w:r>
        <w:rPr>
          <w:bdr w:val="single" w:sz="12" w:space="1" w:color="000000"/>
        </w:rPr>
        <w:t>2</w:t>
      </w:r>
    </w:p>
    <w:p>
      <w:pPr>
        <w:pStyle w:val="TextBody"/>
        <w:bidi w:val="0"/>
        <w:spacing w:before="0" w:after="0"/>
        <w:ind w:left="0" w:right="0" w:hanging="0"/>
        <w:jc w:val="left"/>
        <w:rPr/>
      </w:pPr>
      <w:r>
        <w:rPr/>
        <w:t> </w:t>
      </w:r>
    </w:p>
    <w:p>
      <w:pPr>
        <w:pStyle w:val="TextBody"/>
        <w:bidi w:val="0"/>
        <w:jc w:val="both"/>
        <w:rPr>
          <w:caps w:val="false"/>
          <w:smallCaps w:val="false"/>
        </w:rPr>
      </w:pPr>
      <w:r>
        <w:rPr>
          <w:caps w:val="false"/>
          <w:smallCaps w:val="false"/>
        </w:rPr>
        <w:t> </w:t>
      </w:r>
    </w:p>
    <w:p>
      <w:pPr>
        <w:pStyle w:val="TextBody"/>
        <w:bidi w:val="0"/>
        <w:jc w:val="both"/>
        <w:rPr>
          <w:caps w:val="false"/>
          <w:smallCaps w:val="false"/>
        </w:rPr>
      </w:pPr>
      <w:r>
        <w:rPr>
          <w:caps w:val="false"/>
          <w:smallCaps w:val="false"/>
        </w:rPr>
        <w:t>“</w:t>
      </w:r>
      <w:r>
        <w:rPr>
          <w:rFonts w:ascii="Times New Roman;Times;Serif" w:hAnsi="Times New Roman;Times;Serif"/>
          <w:b/>
          <w:i/>
          <w:caps w:val="false"/>
          <w:smallCaps w:val="false"/>
          <w:sz w:val="20"/>
        </w:rPr>
        <w:t>herein</w:t>
      </w:r>
      <w:r>
        <w:rPr>
          <w:rFonts w:ascii="Times New Roman;Times;Serif" w:hAnsi="Times New Roman;Times;Serif"/>
          <w:b w:val="false"/>
          <w:i w:val="false"/>
          <w:caps w:val="false"/>
          <w:smallCaps w:val="false"/>
          <w:sz w:val="20"/>
        </w:rPr>
        <w:t>”, “</w:t>
      </w:r>
      <w:r>
        <w:rPr>
          <w:rFonts w:ascii="Times New Roman;Times;Serif" w:hAnsi="Times New Roman;Times;Serif"/>
          <w:b/>
          <w:i/>
          <w:caps w:val="false"/>
          <w:smallCaps w:val="false"/>
          <w:sz w:val="20"/>
        </w:rPr>
        <w:t>hereof</w:t>
      </w:r>
      <w:r>
        <w:rPr>
          <w:rFonts w:ascii="Times New Roman;Times;Serif" w:hAnsi="Times New Roman;Times;Serif"/>
          <w:b/>
          <w:i w:val="false"/>
          <w:caps w:val="false"/>
          <w:smallCaps w:val="false"/>
          <w:sz w:val="20"/>
        </w:rPr>
        <w:t>”</w:t>
      </w:r>
      <w:r>
        <w:rPr>
          <w:rFonts w:ascii="Times New Roman;Times;Serif" w:hAnsi="Times New Roman;Times;Serif"/>
          <w:b w:val="false"/>
          <w:i w:val="false"/>
          <w:caps w:val="false"/>
          <w:smallCaps w:val="false"/>
          <w:sz w:val="20"/>
        </w:rPr>
        <w:t> and “</w:t>
      </w:r>
      <w:r>
        <w:rPr>
          <w:rFonts w:ascii="Times New Roman;Times;Serif" w:hAnsi="Times New Roman;Times;Serif"/>
          <w:b/>
          <w:i/>
          <w:caps w:val="false"/>
          <w:smallCaps w:val="false"/>
          <w:sz w:val="20"/>
        </w:rPr>
        <w:t>hereunder</w:t>
      </w:r>
      <w:r>
        <w:rPr>
          <w:rFonts w:ascii="Times New Roman;Times;Serif" w:hAnsi="Times New Roman;Times;Serif"/>
          <w:b w:val="false"/>
          <w:i w:val="false"/>
          <w:caps w:val="false"/>
          <w:smallCaps w:val="false"/>
          <w:sz w:val="20"/>
        </w:rPr>
        <w:t>”, and other words of similar import, refer to this Indenture as a whole and not to any particular Article, Section or other subdivision.</w:t>
      </w:r>
    </w:p>
    <w:p>
      <w:pPr>
        <w:pStyle w:val="TextBody"/>
        <w:bidi w:val="0"/>
        <w:jc w:val="both"/>
        <w:rPr>
          <w:caps w:val="false"/>
          <w:smallCaps w:val="false"/>
        </w:rPr>
      </w:pPr>
      <w:r>
        <w:rPr>
          <w:caps w:val="false"/>
          <w:smallCaps w:val="false"/>
        </w:rPr>
        <w:t> </w:t>
      </w:r>
    </w:p>
    <w:p>
      <w:pPr>
        <w:pStyle w:val="TextBody"/>
        <w:bidi w:val="0"/>
        <w:jc w:val="both"/>
        <w:rPr>
          <w:caps w:val="false"/>
          <w:smallCaps w:val="false"/>
        </w:rPr>
      </w:pPr>
      <w:r>
        <w:rPr>
          <w:caps w:val="false"/>
          <w:smallCaps w:val="false"/>
        </w:rPr>
        <w:t>“</w:t>
      </w:r>
      <w:r>
        <w:rPr>
          <w:rFonts w:ascii="Times New Roman;Times;Serif" w:hAnsi="Times New Roman;Times;Serif"/>
          <w:b/>
          <w:i/>
          <w:caps w:val="false"/>
          <w:smallCaps w:val="false"/>
          <w:sz w:val="20"/>
        </w:rPr>
        <w:t>Indenture</w:t>
      </w:r>
      <w:r>
        <w:rPr>
          <w:rFonts w:ascii="Times New Roman;Times;Serif" w:hAnsi="Times New Roman;Times;Serif"/>
          <w:b w:val="false"/>
          <w:i w:val="false"/>
          <w:caps w:val="false"/>
          <w:smallCaps w:val="false"/>
          <w:sz w:val="20"/>
        </w:rPr>
        <w:t>” means this instrument as originally executed or as it may from time to time be supplemented or amended by one or more indentures supplemental hereto entered into in accordance with the terms hereof.</w:t>
      </w:r>
    </w:p>
    <w:p>
      <w:pPr>
        <w:pStyle w:val="TextBody"/>
        <w:bidi w:val="0"/>
        <w:jc w:val="both"/>
        <w:rPr>
          <w:caps w:val="false"/>
          <w:smallCaps w:val="false"/>
        </w:rPr>
      </w:pPr>
      <w:r>
        <w:rPr>
          <w:caps w:val="false"/>
          <w:smallCaps w:val="false"/>
        </w:rPr>
        <w:t> </w:t>
      </w:r>
    </w:p>
    <w:p>
      <w:pPr>
        <w:pStyle w:val="TextBody"/>
        <w:bidi w:val="0"/>
        <w:jc w:val="both"/>
        <w:rPr>
          <w:caps w:val="false"/>
          <w:smallCaps w:val="false"/>
        </w:rPr>
      </w:pPr>
      <w:r>
        <w:rPr>
          <w:caps w:val="false"/>
          <w:smallCaps w:val="false"/>
        </w:rPr>
        <w:t>“</w:t>
      </w:r>
      <w:r>
        <w:rPr>
          <w:rFonts w:ascii="Times New Roman;Times;Serif" w:hAnsi="Times New Roman;Times;Serif"/>
          <w:b/>
          <w:i/>
          <w:caps w:val="false"/>
          <w:smallCaps w:val="false"/>
          <w:sz w:val="20"/>
        </w:rPr>
        <w:t>Interest Payment Date</w:t>
      </w:r>
      <w:r>
        <w:rPr>
          <w:rFonts w:ascii="Times New Roman;Times;Serif" w:hAnsi="Times New Roman;Times;Serif"/>
          <w:b w:val="false"/>
          <w:i w:val="false"/>
          <w:caps w:val="false"/>
          <w:smallCaps w:val="false"/>
          <w:sz w:val="20"/>
        </w:rPr>
        <w:t>”, when used with respect to any installment of interest on a Security of a particular series, means the date specified in such Security or in a Board Resolution or in an indenture supplemental hereto with respect to such series as the fixed date on which an installment of interest with respect to Securities of that series is due and payable.</w:t>
      </w:r>
    </w:p>
    <w:p>
      <w:pPr>
        <w:pStyle w:val="TextBody"/>
        <w:bidi w:val="0"/>
        <w:jc w:val="both"/>
        <w:rPr>
          <w:caps w:val="false"/>
          <w:smallCaps w:val="false"/>
        </w:rPr>
      </w:pPr>
      <w:r>
        <w:rPr>
          <w:caps w:val="false"/>
          <w:smallCaps w:val="false"/>
        </w:rPr>
        <w:t> </w:t>
      </w:r>
    </w:p>
    <w:p>
      <w:pPr>
        <w:pStyle w:val="TextBody"/>
        <w:bidi w:val="0"/>
        <w:jc w:val="both"/>
        <w:rPr>
          <w:caps w:val="false"/>
          <w:smallCaps w:val="false"/>
        </w:rPr>
      </w:pPr>
      <w:r>
        <w:rPr>
          <w:caps w:val="false"/>
          <w:smallCaps w:val="false"/>
        </w:rPr>
        <w:t>“</w:t>
      </w:r>
      <w:r>
        <w:rPr>
          <w:rFonts w:ascii="Times New Roman;Times;Serif" w:hAnsi="Times New Roman;Times;Serif"/>
          <w:b/>
          <w:i/>
          <w:caps w:val="false"/>
          <w:smallCaps w:val="false"/>
          <w:sz w:val="20"/>
        </w:rPr>
        <w:t>Officer</w:t>
      </w:r>
      <w:r>
        <w:rPr>
          <w:rFonts w:ascii="Times New Roman;Times;Serif" w:hAnsi="Times New Roman;Times;Serif"/>
          <w:b w:val="false"/>
          <w:i w:val="false"/>
          <w:caps w:val="false"/>
          <w:smallCaps w:val="false"/>
          <w:sz w:val="20"/>
        </w:rPr>
        <w:t>” means, with respect to the Company, the chairman of the Board of Directors, a chief executive officer, a president, a chief financial officer, chief operating officer, any executive vice president, any senior vice president, any vice president, the treasurer or any assistant treasurer, the controller or any assistant controller or the secretary or any assistant secretary.</w:t>
      </w:r>
    </w:p>
    <w:p>
      <w:pPr>
        <w:pStyle w:val="TextBody"/>
        <w:bidi w:val="0"/>
        <w:jc w:val="both"/>
        <w:rPr>
          <w:caps w:val="false"/>
          <w:smallCaps w:val="false"/>
        </w:rPr>
      </w:pPr>
      <w:r>
        <w:rPr>
          <w:caps w:val="false"/>
          <w:smallCaps w:val="false"/>
        </w:rPr>
        <w:t> </w:t>
      </w:r>
    </w:p>
    <w:p>
      <w:pPr>
        <w:pStyle w:val="TextBody"/>
        <w:bidi w:val="0"/>
        <w:jc w:val="both"/>
        <w:rPr>
          <w:caps w:val="false"/>
          <w:smallCaps w:val="false"/>
        </w:rPr>
      </w:pPr>
      <w:r>
        <w:rPr>
          <w:caps w:val="false"/>
          <w:smallCaps w:val="false"/>
        </w:rPr>
        <w:t>“</w:t>
      </w:r>
      <w:r>
        <w:rPr>
          <w:rFonts w:ascii="Times New Roman;Times;Serif" w:hAnsi="Times New Roman;Times;Serif"/>
          <w:b/>
          <w:i/>
          <w:caps w:val="false"/>
          <w:smallCaps w:val="false"/>
          <w:sz w:val="20"/>
        </w:rPr>
        <w:t>Officers’ Certificate</w:t>
      </w:r>
      <w:r>
        <w:rPr>
          <w:rFonts w:ascii="Times New Roman;Times;Serif" w:hAnsi="Times New Roman;Times;Serif"/>
          <w:b w:val="false"/>
          <w:i w:val="false"/>
          <w:caps w:val="false"/>
          <w:smallCaps w:val="false"/>
          <w:sz w:val="20"/>
        </w:rPr>
        <w:t>” means a certificate signed by any two Officers. Each such certificate shall include the statements provided for in Section 13.07, if and to the extent required by the provisions thereof.</w:t>
      </w:r>
    </w:p>
    <w:p>
      <w:pPr>
        <w:pStyle w:val="TextBody"/>
        <w:bidi w:val="0"/>
        <w:jc w:val="both"/>
        <w:rPr>
          <w:caps w:val="false"/>
          <w:smallCaps w:val="false"/>
        </w:rPr>
      </w:pPr>
      <w:r>
        <w:rPr>
          <w:caps w:val="false"/>
          <w:smallCaps w:val="false"/>
        </w:rPr>
        <w:t> </w:t>
      </w:r>
    </w:p>
    <w:p>
      <w:pPr>
        <w:pStyle w:val="TextBody"/>
        <w:bidi w:val="0"/>
        <w:jc w:val="both"/>
        <w:rPr>
          <w:caps w:val="false"/>
          <w:smallCaps w:val="false"/>
        </w:rPr>
      </w:pPr>
      <w:r>
        <w:rPr>
          <w:caps w:val="false"/>
          <w:smallCaps w:val="false"/>
        </w:rPr>
        <w:t>“</w:t>
      </w:r>
      <w:r>
        <w:rPr>
          <w:rFonts w:ascii="Times New Roman;Times;Serif" w:hAnsi="Times New Roman;Times;Serif"/>
          <w:b/>
          <w:i/>
          <w:caps w:val="false"/>
          <w:smallCaps w:val="false"/>
          <w:sz w:val="20"/>
        </w:rPr>
        <w:t>Opinion of Counsel</w:t>
      </w:r>
      <w:r>
        <w:rPr>
          <w:rFonts w:ascii="Times New Roman;Times;Serif" w:hAnsi="Times New Roman;Times;Serif"/>
          <w:b w:val="false"/>
          <w:i w:val="false"/>
          <w:caps w:val="false"/>
          <w:smallCaps w:val="false"/>
          <w:sz w:val="20"/>
        </w:rPr>
        <w:t>” means an opinion in writing subject to customary exceptions of legal counsel, who may be an employee of or counsel for the Company, that is delivered to the Trustee in accordance with the terms hereof. Each such opinion shall include the statements provided for in Section 13.07, if and to the extent required by the provisions thereof.</w:t>
      </w:r>
    </w:p>
    <w:p>
      <w:pPr>
        <w:pStyle w:val="TextBody"/>
        <w:bidi w:val="0"/>
        <w:jc w:val="both"/>
        <w:rPr>
          <w:caps w:val="false"/>
          <w:smallCaps w:val="false"/>
        </w:rPr>
      </w:pPr>
      <w:r>
        <w:rPr>
          <w:caps w:val="false"/>
          <w:smallCaps w:val="false"/>
        </w:rPr>
        <w:t> </w:t>
      </w:r>
    </w:p>
    <w:p>
      <w:pPr>
        <w:pStyle w:val="TextBody"/>
        <w:bidi w:val="0"/>
        <w:jc w:val="both"/>
        <w:rPr>
          <w:caps w:val="false"/>
          <w:smallCaps w:val="false"/>
        </w:rPr>
      </w:pPr>
      <w:r>
        <w:rPr>
          <w:caps w:val="false"/>
          <w:smallCaps w:val="false"/>
        </w:rPr>
        <w:t>“</w:t>
      </w:r>
      <w:r>
        <w:rPr>
          <w:rFonts w:ascii="Times New Roman;Times;Serif" w:hAnsi="Times New Roman;Times;Serif"/>
          <w:b/>
          <w:i/>
          <w:caps w:val="false"/>
          <w:smallCaps w:val="false"/>
          <w:sz w:val="20"/>
        </w:rPr>
        <w:t>Outstanding</w:t>
      </w:r>
      <w:r>
        <w:rPr>
          <w:rFonts w:ascii="Times New Roman;Times;Serif" w:hAnsi="Times New Roman;Times;Serif"/>
          <w:b w:val="false"/>
          <w:i w:val="false"/>
          <w:caps w:val="false"/>
          <w:smallCaps w:val="false"/>
          <w:sz w:val="20"/>
        </w:rPr>
        <w:t>”, when used with reference to Securities of any series, means, subject to the provisions of Section 8.04, as of any particular time, all Securities of that series theretofore authenticated and delivered by the Trustee under this Indenture, except (a) Securities theretofore canceled by the Trustee or any paying agent, or delivered to the Trustee or any paying agent for cancellation or that have previously been canceled; (b) Securities or portions thereof for the payment or redemption of which moneys or Governmental Obligations in the necessary amount shall have been deposited in trust with the Trustee or with any paying agent (other than the Company) or shall have been set aside and segregated in trust by the Company (if the Company shall act as its own paying agent); provided, however, that if such Securities or portions of such Securities are to be redeemed prior to the maturity thereof, notice of such redemption shall have been given as in Article Three provided, or provision satisfactory to the Trustee shall have been made for giving such notice; and (c) Securities in lieu of or in substitution for which other Securities shall have been authenticated and delivered pursuant to the terms of Section 2.07.</w:t>
      </w:r>
    </w:p>
    <w:p>
      <w:pPr>
        <w:pStyle w:val="TextBody"/>
        <w:bidi w:val="0"/>
        <w:jc w:val="both"/>
        <w:rPr>
          <w:caps w:val="false"/>
          <w:smallCaps w:val="false"/>
        </w:rPr>
      </w:pPr>
      <w:r>
        <w:rPr>
          <w:caps w:val="false"/>
          <w:smallCaps w:val="false"/>
        </w:rPr>
        <w:t> </w:t>
      </w:r>
    </w:p>
    <w:p>
      <w:pPr>
        <w:pStyle w:val="TextBody"/>
        <w:bidi w:val="0"/>
        <w:spacing w:before="0" w:after="0"/>
        <w:jc w:val="center"/>
        <w:rPr>
          <w:bdr w:val="single" w:sz="12" w:space="1" w:color="000000"/>
        </w:rPr>
      </w:pPr>
      <w:r>
        <w:rPr>
          <w:bdr w:val="single" w:sz="12" w:space="1" w:color="000000"/>
        </w:rPr>
        <w:t>3</w:t>
      </w:r>
    </w:p>
    <w:p>
      <w:pPr>
        <w:pStyle w:val="TextBody"/>
        <w:bidi w:val="0"/>
        <w:spacing w:before="0" w:after="0"/>
        <w:ind w:left="0" w:right="0" w:hanging="0"/>
        <w:jc w:val="left"/>
        <w:rPr/>
      </w:pPr>
      <w:r>
        <w:rPr/>
        <w:t> </w:t>
      </w:r>
    </w:p>
    <w:p>
      <w:pPr>
        <w:pStyle w:val="TextBody"/>
        <w:bidi w:val="0"/>
        <w:jc w:val="both"/>
        <w:rPr>
          <w:caps w:val="false"/>
          <w:smallCaps w:val="false"/>
        </w:rPr>
      </w:pPr>
      <w:r>
        <w:rPr>
          <w:caps w:val="false"/>
          <w:smallCaps w:val="false"/>
        </w:rPr>
        <w:t> </w:t>
      </w:r>
    </w:p>
    <w:p>
      <w:pPr>
        <w:pStyle w:val="TextBody"/>
        <w:bidi w:val="0"/>
        <w:jc w:val="both"/>
        <w:rPr>
          <w:caps w:val="false"/>
          <w:smallCaps w:val="false"/>
        </w:rPr>
      </w:pPr>
      <w:r>
        <w:rPr>
          <w:caps w:val="false"/>
          <w:smallCaps w:val="false"/>
        </w:rPr>
        <w:t>“</w:t>
      </w:r>
      <w:r>
        <w:rPr>
          <w:rFonts w:ascii="Times New Roman;Times;Serif" w:hAnsi="Times New Roman;Times;Serif"/>
          <w:b/>
          <w:i/>
          <w:caps w:val="false"/>
          <w:smallCaps w:val="false"/>
          <w:sz w:val="20"/>
        </w:rPr>
        <w:t>Person</w:t>
      </w:r>
      <w:r>
        <w:rPr>
          <w:rFonts w:ascii="Times New Roman;Times;Serif" w:hAnsi="Times New Roman;Times;Serif"/>
          <w:b w:val="false"/>
          <w:i w:val="false"/>
          <w:caps w:val="false"/>
          <w:smallCaps w:val="false"/>
          <w:sz w:val="20"/>
        </w:rPr>
        <w:t>” means any individual, corporation, partnership, joint venture, joint-stock company, limited liability company, association, trust, unincorporated organization, any other entity or organization, including a government or political subdivision or an agency or instrumentality thereof.</w:t>
      </w:r>
    </w:p>
    <w:p>
      <w:pPr>
        <w:pStyle w:val="TextBody"/>
        <w:bidi w:val="0"/>
        <w:jc w:val="both"/>
        <w:rPr>
          <w:caps w:val="false"/>
          <w:smallCaps w:val="false"/>
        </w:rPr>
      </w:pPr>
      <w:r>
        <w:rPr>
          <w:caps w:val="false"/>
          <w:smallCaps w:val="false"/>
        </w:rPr>
        <w:t> </w:t>
      </w:r>
    </w:p>
    <w:p>
      <w:pPr>
        <w:pStyle w:val="TextBody"/>
        <w:bidi w:val="0"/>
        <w:jc w:val="both"/>
        <w:rPr>
          <w:caps w:val="false"/>
          <w:smallCaps w:val="false"/>
        </w:rPr>
      </w:pPr>
      <w:r>
        <w:rPr>
          <w:caps w:val="false"/>
          <w:smallCaps w:val="false"/>
        </w:rPr>
        <w:t>“</w:t>
      </w:r>
      <w:r>
        <w:rPr>
          <w:rFonts w:ascii="Times New Roman;Times;Serif" w:hAnsi="Times New Roman;Times;Serif"/>
          <w:b/>
          <w:i/>
          <w:caps w:val="false"/>
          <w:smallCaps w:val="false"/>
          <w:sz w:val="20"/>
        </w:rPr>
        <w:t>Predecessor Security</w:t>
      </w:r>
      <w:r>
        <w:rPr>
          <w:rFonts w:ascii="Times New Roman;Times;Serif" w:hAnsi="Times New Roman;Times;Serif"/>
          <w:b w:val="false"/>
          <w:i w:val="false"/>
          <w:caps w:val="false"/>
          <w:smallCaps w:val="false"/>
          <w:sz w:val="20"/>
        </w:rPr>
        <w:t>” of any particular Security means every previous Security evidencing all or a portion of the same debt as that evidenced by such particular Security; and, for the purposes of this definition, any Security authenticated and delivered under Section 2.07 in lieu of a lost, destroyed or stolen Security shall be deemed to evidence the same debt as the lost, destroyed or stolen Security.</w:t>
      </w:r>
    </w:p>
    <w:p>
      <w:pPr>
        <w:pStyle w:val="TextBody"/>
        <w:bidi w:val="0"/>
        <w:jc w:val="both"/>
        <w:rPr>
          <w:caps w:val="false"/>
          <w:smallCaps w:val="false"/>
        </w:rPr>
      </w:pPr>
      <w:r>
        <w:rPr>
          <w:caps w:val="false"/>
          <w:smallCaps w:val="false"/>
        </w:rPr>
        <w:t> </w:t>
      </w:r>
    </w:p>
    <w:p>
      <w:pPr>
        <w:pStyle w:val="TextBody"/>
        <w:bidi w:val="0"/>
        <w:jc w:val="both"/>
        <w:rPr>
          <w:caps w:val="false"/>
          <w:smallCaps w:val="false"/>
        </w:rPr>
      </w:pPr>
      <w:r>
        <w:rPr>
          <w:caps w:val="false"/>
          <w:smallCaps w:val="false"/>
        </w:rPr>
        <w:t>“</w:t>
      </w:r>
      <w:r>
        <w:rPr>
          <w:rFonts w:ascii="Times New Roman;Times;Serif" w:hAnsi="Times New Roman;Times;Serif"/>
          <w:b/>
          <w:i/>
          <w:caps w:val="false"/>
          <w:smallCaps w:val="false"/>
          <w:sz w:val="20"/>
        </w:rPr>
        <w:t>Responsible Officer</w:t>
      </w:r>
      <w:r>
        <w:rPr>
          <w:rFonts w:ascii="Times New Roman;Times;Serif" w:hAnsi="Times New Roman;Times;Serif"/>
          <w:b w:val="false"/>
          <w:i w:val="false"/>
          <w:caps w:val="false"/>
          <w:smallCaps w:val="false"/>
          <w:sz w:val="20"/>
        </w:rPr>
        <w:t>” when used with respect to the Trustee means the chairman of its board of directors, the chief executive officer, the president, any vice president, the secretary, the treasurer, any trust officer, any corporate trust officer or any other officer or assistant officer of the Trustee customarily performing functions similar to those performed by the Persons who at the time shall be such officers, respectively, or to whom any corporate trust matter is referred because of his or her knowledge of and familiarity with the particular subject.</w:t>
      </w:r>
    </w:p>
    <w:p>
      <w:pPr>
        <w:pStyle w:val="TextBody"/>
        <w:bidi w:val="0"/>
        <w:jc w:val="both"/>
        <w:rPr>
          <w:caps w:val="false"/>
          <w:smallCaps w:val="false"/>
        </w:rPr>
      </w:pPr>
      <w:r>
        <w:rPr>
          <w:caps w:val="false"/>
          <w:smallCaps w:val="false"/>
        </w:rPr>
        <w:t> </w:t>
      </w:r>
    </w:p>
    <w:p>
      <w:pPr>
        <w:pStyle w:val="TextBody"/>
        <w:bidi w:val="0"/>
        <w:jc w:val="both"/>
        <w:rPr>
          <w:caps w:val="false"/>
          <w:smallCaps w:val="false"/>
        </w:rPr>
      </w:pPr>
      <w:r>
        <w:rPr>
          <w:caps w:val="false"/>
          <w:smallCaps w:val="false"/>
        </w:rPr>
        <w:t>“</w:t>
      </w:r>
      <w:r>
        <w:rPr>
          <w:rFonts w:ascii="Times New Roman;Times;Serif" w:hAnsi="Times New Roman;Times;Serif"/>
          <w:b/>
          <w:i/>
          <w:caps w:val="false"/>
          <w:smallCaps w:val="false"/>
          <w:sz w:val="20"/>
        </w:rPr>
        <w:t>Securities</w:t>
      </w:r>
      <w:r>
        <w:rPr>
          <w:rFonts w:ascii="Times New Roman;Times;Serif" w:hAnsi="Times New Roman;Times;Serif"/>
          <w:b w:val="false"/>
          <w:i w:val="false"/>
          <w:caps w:val="false"/>
          <w:smallCaps w:val="false"/>
          <w:sz w:val="20"/>
        </w:rPr>
        <w:t>” means the debt Securities authenticated and delivered under this Indenture.</w:t>
      </w:r>
    </w:p>
    <w:p>
      <w:pPr>
        <w:pStyle w:val="TextBody"/>
        <w:bidi w:val="0"/>
        <w:jc w:val="both"/>
        <w:rPr>
          <w:caps w:val="false"/>
          <w:smallCaps w:val="false"/>
        </w:rPr>
      </w:pPr>
      <w:r>
        <w:rPr>
          <w:caps w:val="false"/>
          <w:smallCaps w:val="false"/>
        </w:rPr>
        <w:t> </w:t>
      </w:r>
    </w:p>
    <w:p>
      <w:pPr>
        <w:pStyle w:val="TextBody"/>
        <w:bidi w:val="0"/>
        <w:jc w:val="both"/>
        <w:rPr>
          <w:caps w:val="false"/>
          <w:smallCaps w:val="false"/>
        </w:rPr>
      </w:pPr>
      <w:r>
        <w:rPr>
          <w:caps w:val="false"/>
          <w:smallCaps w:val="false"/>
        </w:rPr>
        <w:t>“</w:t>
      </w:r>
      <w:r>
        <w:rPr>
          <w:rFonts w:ascii="Times New Roman;Times;Serif" w:hAnsi="Times New Roman;Times;Serif"/>
          <w:b/>
          <w:i/>
          <w:caps w:val="false"/>
          <w:smallCaps w:val="false"/>
          <w:sz w:val="20"/>
        </w:rPr>
        <w:t>Securityholder</w:t>
      </w:r>
      <w:r>
        <w:rPr>
          <w:rFonts w:ascii="Times New Roman;Times;Serif" w:hAnsi="Times New Roman;Times;Serif"/>
          <w:b w:val="false"/>
          <w:i w:val="false"/>
          <w:caps w:val="false"/>
          <w:smallCaps w:val="false"/>
          <w:sz w:val="20"/>
        </w:rPr>
        <w:t>”, “holder of Securities”, “registered holder”, or other similar term, means the Person or Persons in whose name or names a particular Security shall be registered on the books of the Company kept for that purpose in accordance with the terms of this Indenture.</w:t>
      </w:r>
    </w:p>
    <w:p>
      <w:pPr>
        <w:pStyle w:val="TextBody"/>
        <w:bidi w:val="0"/>
        <w:jc w:val="both"/>
        <w:rPr>
          <w:caps w:val="false"/>
          <w:smallCaps w:val="false"/>
        </w:rPr>
      </w:pPr>
      <w:r>
        <w:rPr>
          <w:caps w:val="false"/>
          <w:smallCaps w:val="false"/>
        </w:rPr>
        <w:t> </w:t>
      </w:r>
    </w:p>
    <w:p>
      <w:pPr>
        <w:pStyle w:val="TextBody"/>
        <w:bidi w:val="0"/>
        <w:jc w:val="both"/>
        <w:rPr>
          <w:caps w:val="false"/>
          <w:smallCaps w:val="false"/>
        </w:rPr>
      </w:pPr>
      <w:r>
        <w:rPr>
          <w:caps w:val="false"/>
          <w:smallCaps w:val="false"/>
        </w:rPr>
        <w:t>“</w:t>
      </w:r>
      <w:r>
        <w:rPr>
          <w:rFonts w:ascii="Times New Roman;Times;Serif" w:hAnsi="Times New Roman;Times;Serif"/>
          <w:b/>
          <w:i/>
          <w:caps w:val="false"/>
          <w:smallCaps w:val="false"/>
          <w:sz w:val="20"/>
        </w:rPr>
        <w:t>Security Register</w:t>
      </w:r>
      <w:r>
        <w:rPr>
          <w:rFonts w:ascii="Times New Roman;Times;Serif" w:hAnsi="Times New Roman;Times;Serif"/>
          <w:b w:val="false"/>
          <w:i w:val="false"/>
          <w:caps w:val="false"/>
          <w:smallCaps w:val="false"/>
          <w:sz w:val="20"/>
        </w:rPr>
        <w:t>” and “</w:t>
      </w:r>
      <w:r>
        <w:rPr>
          <w:rFonts w:ascii="Times New Roman;Times;Serif" w:hAnsi="Times New Roman;Times;Serif"/>
          <w:b/>
          <w:i/>
          <w:caps w:val="false"/>
          <w:smallCaps w:val="false"/>
          <w:sz w:val="20"/>
        </w:rPr>
        <w:t>Security Registrar</w:t>
      </w:r>
      <w:r>
        <w:rPr>
          <w:rFonts w:ascii="Times New Roman;Times;Serif" w:hAnsi="Times New Roman;Times;Serif"/>
          <w:b w:val="false"/>
          <w:i w:val="false"/>
          <w:caps w:val="false"/>
          <w:smallCaps w:val="false"/>
          <w:sz w:val="20"/>
        </w:rPr>
        <w:t>” shall have the meanings as set forth in Section 2.05.</w:t>
      </w:r>
    </w:p>
    <w:p>
      <w:pPr>
        <w:pStyle w:val="TextBody"/>
        <w:bidi w:val="0"/>
        <w:jc w:val="both"/>
        <w:rPr>
          <w:caps w:val="false"/>
          <w:smallCaps w:val="false"/>
        </w:rPr>
      </w:pPr>
      <w:r>
        <w:rPr>
          <w:caps w:val="false"/>
          <w:smallCaps w:val="false"/>
        </w:rPr>
        <w:t> </w:t>
      </w:r>
    </w:p>
    <w:p>
      <w:pPr>
        <w:pStyle w:val="TextBody"/>
        <w:bidi w:val="0"/>
        <w:jc w:val="both"/>
        <w:rPr>
          <w:caps w:val="false"/>
          <w:smallCaps w:val="false"/>
        </w:rPr>
      </w:pPr>
      <w:r>
        <w:rPr>
          <w:caps w:val="false"/>
          <w:smallCaps w:val="false"/>
        </w:rPr>
        <w:t>“</w:t>
      </w:r>
      <w:r>
        <w:rPr>
          <w:rFonts w:ascii="Times New Roman;Times;Serif" w:hAnsi="Times New Roman;Times;Serif"/>
          <w:b/>
          <w:i/>
          <w:caps w:val="false"/>
          <w:smallCaps w:val="false"/>
          <w:sz w:val="20"/>
        </w:rPr>
        <w:t>Subsidiary</w:t>
      </w:r>
      <w:r>
        <w:rPr>
          <w:rFonts w:ascii="Times New Roman;Times;Serif" w:hAnsi="Times New Roman;Times;Serif"/>
          <w:b w:val="false"/>
          <w:i w:val="false"/>
          <w:caps w:val="false"/>
          <w:smallCaps w:val="false"/>
          <w:sz w:val="20"/>
        </w:rPr>
        <w:t>” means, with respect to any Person, (i) any corporation at least a majority of whose outstanding Voting Share shall at the time be owned, directly or indirectly, by such Person or by one or more of its Subsidiaries or by such Person and one or more of its Subsidiaries, (ii) any general partnership, joint venture or similar entity, at least a majority of whose outstanding partnership or similar interests shall at the time be owned by such Person, or by one or more of its Subsidiaries, or by such Person and one or more of its Subsidiaries and (iii) any limited partnership of which such Person or any of its Subsidiaries is a general partner.</w:t>
      </w:r>
    </w:p>
    <w:p>
      <w:pPr>
        <w:pStyle w:val="TextBody"/>
        <w:bidi w:val="0"/>
        <w:jc w:val="both"/>
        <w:rPr>
          <w:caps w:val="false"/>
          <w:smallCaps w:val="false"/>
        </w:rPr>
      </w:pPr>
      <w:r>
        <w:rPr>
          <w:caps w:val="false"/>
          <w:smallCaps w:val="false"/>
        </w:rPr>
        <w:t> </w:t>
      </w:r>
    </w:p>
    <w:p>
      <w:pPr>
        <w:pStyle w:val="TextBody"/>
        <w:bidi w:val="0"/>
        <w:jc w:val="both"/>
        <w:rPr>
          <w:caps w:val="false"/>
          <w:smallCaps w:val="false"/>
        </w:rPr>
      </w:pPr>
      <w:r>
        <w:rPr>
          <w:caps w:val="false"/>
          <w:smallCaps w:val="false"/>
        </w:rPr>
        <w:t>“</w:t>
      </w:r>
      <w:r>
        <w:rPr>
          <w:rFonts w:ascii="Times New Roman;Times;Serif" w:hAnsi="Times New Roman;Times;Serif"/>
          <w:b/>
          <w:i/>
          <w:caps w:val="false"/>
          <w:smallCaps w:val="false"/>
          <w:sz w:val="20"/>
        </w:rPr>
        <w:t>Trustee</w:t>
      </w:r>
      <w:r>
        <w:rPr>
          <w:rFonts w:ascii="Times New Roman;Times;Serif" w:hAnsi="Times New Roman;Times;Serif"/>
          <w:b w:val="false"/>
          <w:i w:val="false"/>
          <w:caps w:val="false"/>
          <w:smallCaps w:val="false"/>
          <w:sz w:val="20"/>
        </w:rPr>
        <w:t>” means , and, subject to the provisions of Article Seven, shall also include its successors and assigns, and, if at any time there is more than one Person acting in such capacity hereunder, “Trustee” shall mean each such Person. The term “Trustee” as used with respect to a particular series of the Securities shall mean the trustee with respect to that series.</w:t>
      </w:r>
    </w:p>
    <w:p>
      <w:pPr>
        <w:pStyle w:val="TextBody"/>
        <w:bidi w:val="0"/>
        <w:jc w:val="both"/>
        <w:rPr>
          <w:caps w:val="false"/>
          <w:smallCaps w:val="false"/>
        </w:rPr>
      </w:pPr>
      <w:r>
        <w:rPr>
          <w:caps w:val="false"/>
          <w:smallCaps w:val="false"/>
        </w:rPr>
        <w:t> </w:t>
      </w:r>
    </w:p>
    <w:p>
      <w:pPr>
        <w:pStyle w:val="TextBody"/>
        <w:bidi w:val="0"/>
        <w:jc w:val="both"/>
        <w:rPr>
          <w:caps w:val="false"/>
          <w:smallCaps w:val="false"/>
        </w:rPr>
      </w:pPr>
      <w:r>
        <w:rPr>
          <w:caps w:val="false"/>
          <w:smallCaps w:val="false"/>
        </w:rPr>
        <w:t>“</w:t>
      </w:r>
      <w:r>
        <w:rPr>
          <w:rFonts w:ascii="Times New Roman;Times;Serif" w:hAnsi="Times New Roman;Times;Serif"/>
          <w:b/>
          <w:i/>
          <w:caps w:val="false"/>
          <w:smallCaps w:val="false"/>
          <w:sz w:val="20"/>
        </w:rPr>
        <w:t>Trust Indenture Act</w:t>
      </w:r>
      <w:r>
        <w:rPr>
          <w:rFonts w:ascii="Times New Roman;Times;Serif" w:hAnsi="Times New Roman;Times;Serif"/>
          <w:b w:val="false"/>
          <w:i w:val="false"/>
          <w:caps w:val="false"/>
          <w:smallCaps w:val="false"/>
          <w:sz w:val="20"/>
        </w:rPr>
        <w:t>” means the Trust Indenture Act of 1939, as amended.</w:t>
      </w:r>
    </w:p>
    <w:p>
      <w:pPr>
        <w:pStyle w:val="TextBody"/>
        <w:bidi w:val="0"/>
        <w:jc w:val="both"/>
        <w:rPr>
          <w:caps w:val="false"/>
          <w:smallCaps w:val="false"/>
        </w:rPr>
      </w:pPr>
      <w:r>
        <w:rPr>
          <w:caps w:val="false"/>
          <w:smallCaps w:val="false"/>
        </w:rPr>
        <w:t> </w:t>
      </w:r>
    </w:p>
    <w:p>
      <w:pPr>
        <w:pStyle w:val="TextBody"/>
        <w:bidi w:val="0"/>
        <w:jc w:val="both"/>
        <w:rPr>
          <w:caps w:val="false"/>
          <w:smallCaps w:val="false"/>
        </w:rPr>
      </w:pPr>
      <w:r>
        <w:rPr>
          <w:caps w:val="false"/>
          <w:smallCaps w:val="false"/>
        </w:rPr>
        <w:t>“</w:t>
      </w:r>
      <w:r>
        <w:rPr>
          <w:rFonts w:ascii="Times New Roman;Times;Serif" w:hAnsi="Times New Roman;Times;Serif"/>
          <w:b/>
          <w:i/>
          <w:caps w:val="false"/>
          <w:smallCaps w:val="false"/>
          <w:sz w:val="20"/>
        </w:rPr>
        <w:t>Voting Shares</w:t>
      </w:r>
      <w:r>
        <w:rPr>
          <w:rFonts w:ascii="Times New Roman;Times;Serif" w:hAnsi="Times New Roman;Times;Serif"/>
          <w:b w:val="false"/>
          <w:i w:val="false"/>
          <w:caps w:val="false"/>
          <w:smallCaps w:val="false"/>
          <w:sz w:val="20"/>
        </w:rPr>
        <w:t>”, as applied to shares of any Person, means shares, interests, participations or other equivalents in the equity interest (however designated) in such Person having ordinary voting power for the election of a majority of the directors (or the equivalent) of such Person, other than shares, interests, participations or other equivalents having such power only by reason of the occurrence of a contingency.</w:t>
      </w:r>
    </w:p>
    <w:p>
      <w:pPr>
        <w:pStyle w:val="TextBody"/>
        <w:bidi w:val="0"/>
        <w:jc w:val="center"/>
        <w:rPr>
          <w:caps w:val="false"/>
          <w:smallCaps w:val="false"/>
        </w:rPr>
      </w:pPr>
      <w:r>
        <w:rPr>
          <w:caps w:val="false"/>
          <w:smallCaps w:val="false"/>
        </w:rPr>
        <w:t> </w:t>
      </w:r>
    </w:p>
    <w:p>
      <w:pPr>
        <w:pStyle w:val="TextBody"/>
        <w:bidi w:val="0"/>
        <w:spacing w:before="0" w:after="0"/>
        <w:jc w:val="center"/>
        <w:rPr>
          <w:bdr w:val="single" w:sz="12" w:space="1" w:color="000000"/>
        </w:rPr>
      </w:pPr>
      <w:r>
        <w:rPr>
          <w:bdr w:val="single" w:sz="12" w:space="1" w:color="000000"/>
        </w:rPr>
        <w:t>4</w:t>
      </w:r>
    </w:p>
    <w:p>
      <w:pPr>
        <w:pStyle w:val="TextBody"/>
        <w:bidi w:val="0"/>
        <w:spacing w:before="0" w:after="0"/>
        <w:ind w:left="0" w:right="0" w:hanging="0"/>
        <w:jc w:val="left"/>
        <w:rPr/>
      </w:pPr>
      <w:r>
        <w:rPr/>
        <w:t> </w:t>
      </w:r>
    </w:p>
    <w:p>
      <w:pPr>
        <w:pStyle w:val="TextBody"/>
        <w:bidi w:val="0"/>
        <w:jc w:val="center"/>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0"/>
        </w:rPr>
      </w:pPr>
      <w:bookmarkStart w:id="19" w:name="a_0031"/>
      <w:bookmarkEnd w:id="19"/>
      <w:r>
        <w:rPr>
          <w:rFonts w:ascii="Times New Roman;Times;Serif" w:hAnsi="Times New Roman;Times;Serif"/>
          <w:b/>
          <w:i w:val="false"/>
          <w:caps w:val="false"/>
          <w:smallCaps w:val="false"/>
          <w:sz w:val="20"/>
        </w:rPr>
        <w:t>ARTICLE 2</w:t>
      </w:r>
    </w:p>
    <w:p>
      <w:pPr>
        <w:pStyle w:val="TextBody"/>
        <w:bidi w:val="0"/>
        <w:jc w:val="center"/>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ISSUE, DESCRIPTION, TERMS, EXECUTION, REGISTRATION AND EXCHANGE OF SECURITIES</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bookmarkStart w:id="20" w:name="a_0041"/>
      <w:bookmarkEnd w:id="20"/>
      <w:r>
        <w:rPr>
          <w:rFonts w:ascii="Times New Roman;Times;Serif" w:hAnsi="Times New Roman;Times;Serif"/>
          <w:b/>
          <w:i w:val="false"/>
          <w:caps w:val="false"/>
          <w:smallCaps w:val="false"/>
          <w:sz w:val="20"/>
        </w:rPr>
        <w:t>Section 2.01 Designation and Terms of Securities.</w:t>
      </w:r>
    </w:p>
    <w:p>
      <w:pPr>
        <w:pStyle w:val="TextBody"/>
        <w:bidi w:val="0"/>
        <w:ind w:left="0" w:right="0" w:firstLine="720"/>
        <w:jc w:val="left"/>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(a) </w:t>
      </w:r>
      <w:r>
        <w:rPr>
          <w:rFonts w:ascii="Times New Roman;Times;Serif" w:hAnsi="Times New Roman;Times;Serif"/>
          <w:b w:val="false"/>
          <w:i w:val="false"/>
          <w:caps w:val="false"/>
          <w:smallCaps w:val="false"/>
          <w:sz w:val="20"/>
        </w:rPr>
        <w:t>The aggregate principal amount of Securities that may be authenticated and delivered under this Indenture is unlimited. The Securities may be issued in one or more series up to the aggregate principal amount of Securities of that series from time to time authorized by or pursuant to a Board Resolution or pursuant to one or more indentures supplemental hereto. Prior to the initial issuance of Securities of any series, there shall be established in or pursuant to a Board Resolution, and set forth in an Officers’ Certificate, or established in one or more indentures supplemental hereto:</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(1) </w:t>
      </w:r>
      <w:r>
        <w:rPr>
          <w:rFonts w:ascii="Times New Roman;Times;Serif" w:hAnsi="Times New Roman;Times;Serif"/>
          <w:b w:val="false"/>
          <w:i w:val="false"/>
          <w:caps w:val="false"/>
          <w:smallCaps w:val="false"/>
          <w:sz w:val="20"/>
        </w:rPr>
        <w:t>the title of the Securities of the series (which shall distinguish the Securities of that series from all other Securities);</w:t>
      </w:r>
    </w:p>
    <w:p>
      <w:pPr>
        <w:pStyle w:val="TextBody"/>
        <w:bidi w:val="0"/>
        <w:ind w:left="0" w:right="0" w:firstLine="1440"/>
        <w:jc w:val="both"/>
        <w:rPr>
          <w:caps w:val="false"/>
          <w:smallCaps w:val="false"/>
        </w:rPr>
      </w:pPr>
      <w:r>
        <w:rPr>
          <w:caps w:val="false"/>
          <w:smallCaps w:val="false"/>
        </w:rPr>
        <w:t> </w:t>
      </w:r>
    </w:p>
    <w:p>
      <w:pPr>
        <w:pStyle w:val="TextBody"/>
        <w:bidi w:val="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(2) </w:t>
      </w:r>
      <w:r>
        <w:rPr>
          <w:rFonts w:ascii="Times New Roman;Times;Serif" w:hAnsi="Times New Roman;Times;Serif"/>
          <w:b w:val="false"/>
          <w:i w:val="false"/>
          <w:caps w:val="false"/>
          <w:smallCaps w:val="false"/>
          <w:sz w:val="20"/>
        </w:rPr>
        <w:t>any limit upon the aggregate principal amount of the Securities of that series that may be authenticated and delivered under this Indenture (except for Securities authenticated and delivered upon registration of transfer of, or in exchange for, or in lieu of, other Securities of that series);</w:t>
      </w:r>
    </w:p>
    <w:p>
      <w:pPr>
        <w:pStyle w:val="TextBody"/>
        <w:bidi w:val="0"/>
        <w:ind w:left="0" w:right="0" w:firstLine="1440"/>
        <w:jc w:val="both"/>
        <w:rPr>
          <w:caps w:val="false"/>
          <w:smallCaps w:val="false"/>
        </w:rPr>
      </w:pPr>
      <w:r>
        <w:rPr>
          <w:caps w:val="false"/>
          <w:smallCaps w:val="false"/>
        </w:rPr>
        <w:t> </w:t>
      </w:r>
    </w:p>
    <w:p>
      <w:pPr>
        <w:pStyle w:val="TextBody"/>
        <w:bidi w:val="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(3) </w:t>
      </w:r>
      <w:r>
        <w:rPr>
          <w:rFonts w:ascii="Times New Roman;Times;Serif" w:hAnsi="Times New Roman;Times;Serif"/>
          <w:b w:val="false"/>
          <w:i w:val="false"/>
          <w:caps w:val="false"/>
          <w:smallCaps w:val="false"/>
          <w:sz w:val="20"/>
        </w:rPr>
        <w:t>the date or dates on which the principal of the Securities of the series is payable, any original issue discount that may apply to the Securities of that series upon their issuance, the principal amount due at maturity, and the place(s) of payment;</w:t>
      </w:r>
    </w:p>
    <w:p>
      <w:pPr>
        <w:pStyle w:val="TextBody"/>
        <w:bidi w:val="0"/>
        <w:ind w:left="0" w:right="0" w:firstLine="1440"/>
        <w:jc w:val="both"/>
        <w:rPr>
          <w:caps w:val="false"/>
          <w:smallCaps w:val="false"/>
        </w:rPr>
      </w:pPr>
      <w:r>
        <w:rPr>
          <w:caps w:val="false"/>
          <w:smallCaps w:val="false"/>
        </w:rPr>
        <w:t> </w:t>
      </w:r>
    </w:p>
    <w:p>
      <w:pPr>
        <w:pStyle w:val="TextBody"/>
        <w:bidi w:val="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(4) </w:t>
      </w:r>
      <w:r>
        <w:rPr>
          <w:rFonts w:ascii="Times New Roman;Times;Serif" w:hAnsi="Times New Roman;Times;Serif"/>
          <w:b w:val="false"/>
          <w:i w:val="false"/>
          <w:caps w:val="false"/>
          <w:smallCaps w:val="false"/>
          <w:sz w:val="20"/>
        </w:rPr>
        <w:t>the rate or rates at which the Securities of the series shall bear interest or the manner of calculation of such rate or rates, if any;</w:t>
      </w:r>
    </w:p>
    <w:p>
      <w:pPr>
        <w:pStyle w:val="TextBody"/>
        <w:bidi w:val="0"/>
        <w:ind w:left="0" w:right="0" w:firstLine="1440"/>
        <w:jc w:val="both"/>
        <w:rPr>
          <w:caps w:val="false"/>
          <w:smallCaps w:val="false"/>
        </w:rPr>
      </w:pPr>
      <w:r>
        <w:rPr>
          <w:caps w:val="false"/>
          <w:smallCaps w:val="false"/>
        </w:rPr>
        <w:t> </w:t>
      </w:r>
    </w:p>
    <w:p>
      <w:pPr>
        <w:pStyle w:val="TextBody"/>
        <w:bidi w:val="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(5) </w:t>
      </w:r>
      <w:r>
        <w:rPr>
          <w:rFonts w:ascii="Times New Roman;Times;Serif" w:hAnsi="Times New Roman;Times;Serif"/>
          <w:b w:val="false"/>
          <w:i w:val="false"/>
          <w:caps w:val="false"/>
          <w:smallCaps w:val="false"/>
          <w:sz w:val="20"/>
        </w:rPr>
        <w:t>the date or dates from which such interest shall accrue, the Interest Payment Dates on which such interest will be payable or the manner of determination of such Interest Payment Dates, the place(s) of payment, and the record date for the determination of holders to whom interest is payable on any such Interest Payment Dates or the manner of determination of such record dates;</w:t>
      </w:r>
    </w:p>
    <w:p>
      <w:pPr>
        <w:pStyle w:val="TextBody"/>
        <w:bidi w:val="0"/>
        <w:ind w:left="0" w:right="0" w:firstLine="1440"/>
        <w:jc w:val="both"/>
        <w:rPr>
          <w:caps w:val="false"/>
          <w:smallCaps w:val="false"/>
        </w:rPr>
      </w:pPr>
      <w:r>
        <w:rPr>
          <w:caps w:val="false"/>
          <w:smallCaps w:val="false"/>
        </w:rPr>
        <w:t> </w:t>
      </w:r>
    </w:p>
    <w:p>
      <w:pPr>
        <w:pStyle w:val="TextBody"/>
        <w:bidi w:val="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(6) </w:t>
      </w:r>
      <w:r>
        <w:rPr>
          <w:rFonts w:ascii="Times New Roman;Times;Serif" w:hAnsi="Times New Roman;Times;Serif"/>
          <w:b w:val="false"/>
          <w:i w:val="false"/>
          <w:caps w:val="false"/>
          <w:smallCaps w:val="false"/>
          <w:sz w:val="20"/>
        </w:rPr>
        <w:t>the right, if any, to extend the interest payment periods and the duration of such extension;</w:t>
      </w:r>
    </w:p>
    <w:p>
      <w:pPr>
        <w:pStyle w:val="TextBody"/>
        <w:bidi w:val="0"/>
        <w:ind w:left="0" w:right="0" w:firstLine="1440"/>
        <w:jc w:val="both"/>
        <w:rPr>
          <w:caps w:val="false"/>
          <w:smallCaps w:val="false"/>
        </w:rPr>
      </w:pPr>
      <w:r>
        <w:rPr>
          <w:caps w:val="false"/>
          <w:smallCaps w:val="false"/>
        </w:rPr>
        <w:t> </w:t>
      </w:r>
    </w:p>
    <w:p>
      <w:pPr>
        <w:pStyle w:val="TextBody"/>
        <w:bidi w:val="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(7) </w:t>
      </w:r>
      <w:r>
        <w:rPr>
          <w:rFonts w:ascii="Times New Roman;Times;Serif" w:hAnsi="Times New Roman;Times;Serif"/>
          <w:b w:val="false"/>
          <w:i w:val="false"/>
          <w:caps w:val="false"/>
          <w:smallCaps w:val="false"/>
          <w:sz w:val="20"/>
        </w:rPr>
        <w:t>the period or periods within which, the price or prices at which and the terms and conditions upon which Securities of the series may be redeemed, in whole or in part, at the option of the Company;</w:t>
      </w:r>
    </w:p>
    <w:p>
      <w:pPr>
        <w:pStyle w:val="TextBody"/>
        <w:bidi w:val="0"/>
        <w:ind w:left="0" w:right="0" w:firstLine="1440"/>
        <w:jc w:val="both"/>
        <w:rPr>
          <w:caps w:val="false"/>
          <w:smallCaps w:val="false"/>
        </w:rPr>
      </w:pPr>
      <w:r>
        <w:rPr>
          <w:caps w:val="false"/>
          <w:smallCaps w:val="false"/>
        </w:rPr>
        <w:t> </w:t>
      </w:r>
    </w:p>
    <w:p>
      <w:pPr>
        <w:pStyle w:val="TextBody"/>
        <w:bidi w:val="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(8) </w:t>
      </w:r>
      <w:r>
        <w:rPr>
          <w:rFonts w:ascii="Times New Roman;Times;Serif" w:hAnsi="Times New Roman;Times;Serif"/>
          <w:b w:val="false"/>
          <w:i w:val="false"/>
          <w:caps w:val="false"/>
          <w:smallCaps w:val="false"/>
          <w:sz w:val="20"/>
        </w:rPr>
        <w:t>the obligation, if any, of the Company to redeem or purchase Securities of the series pursuant to any sinking fund, mandatory redemption, or analogous provisions (including payments made in cash in satisfaction of future sinking fund obligations) or at the option of a holder thereof and the period or periods within which, the price or prices at which, and the terms and conditions upon which, Securities of the series shall be redeemed or purchased, in whole or in part, pursuant to such obligation;</w:t>
      </w:r>
    </w:p>
    <w:p>
      <w:pPr>
        <w:pStyle w:val="TextBody"/>
        <w:bidi w:val="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bdr w:val="single" w:sz="12" w:space="1" w:color="000000"/>
        </w:rPr>
      </w:pPr>
      <w:r>
        <w:rPr>
          <w:bdr w:val="single" w:sz="12" w:space="1" w:color="000000"/>
        </w:rPr>
        <w:t>5</w:t>
      </w:r>
    </w:p>
    <w:p>
      <w:pPr>
        <w:pStyle w:val="TextBody"/>
        <w:bidi w:val="0"/>
        <w:spacing w:before="0" w:after="0"/>
        <w:ind w:left="0" w:right="0" w:hanging="0"/>
        <w:jc w:val="left"/>
        <w:rPr/>
      </w:pPr>
      <w:r>
        <w:rPr/>
        <w:t> </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(9) </w:t>
      </w:r>
      <w:r>
        <w:rPr>
          <w:rFonts w:ascii="Times New Roman;Times;Serif" w:hAnsi="Times New Roman;Times;Serif"/>
          <w:b w:val="false"/>
          <w:i w:val="false"/>
          <w:caps w:val="false"/>
          <w:smallCaps w:val="false"/>
          <w:sz w:val="20"/>
        </w:rPr>
        <w:t>the form of the Securities of the series including the form of the Certificate of Authentication for such series;</w:t>
      </w:r>
    </w:p>
    <w:p>
      <w:pPr>
        <w:pStyle w:val="TextBody"/>
        <w:bidi w:val="0"/>
        <w:ind w:left="0" w:right="0" w:firstLine="1440"/>
        <w:jc w:val="both"/>
        <w:rPr>
          <w:caps w:val="false"/>
          <w:smallCaps w:val="false"/>
        </w:rPr>
      </w:pPr>
      <w:r>
        <w:rPr>
          <w:caps w:val="false"/>
          <w:smallCaps w:val="false"/>
        </w:rPr>
        <w:t> </w:t>
      </w:r>
    </w:p>
    <w:p>
      <w:pPr>
        <w:pStyle w:val="TextBody"/>
        <w:bidi w:val="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(10) </w:t>
      </w:r>
      <w:r>
        <w:rPr>
          <w:rFonts w:ascii="Times New Roman;Times;Serif" w:hAnsi="Times New Roman;Times;Serif"/>
          <w:b w:val="false"/>
          <w:i w:val="false"/>
          <w:caps w:val="false"/>
          <w:smallCaps w:val="false"/>
          <w:sz w:val="20"/>
        </w:rPr>
        <w:t>if other than denominations of one thousand U.S. dollars ($1,000) or any integral multiple thereof, the denominations in which the Securities of the series shall be issuable;</w:t>
      </w:r>
    </w:p>
    <w:p>
      <w:pPr>
        <w:pStyle w:val="TextBody"/>
        <w:bidi w:val="0"/>
        <w:ind w:left="0" w:right="0" w:firstLine="1440"/>
        <w:jc w:val="both"/>
        <w:rPr>
          <w:caps w:val="false"/>
          <w:smallCaps w:val="false"/>
        </w:rPr>
      </w:pPr>
      <w:r>
        <w:rPr>
          <w:caps w:val="false"/>
          <w:smallCaps w:val="false"/>
        </w:rPr>
        <w:t> </w:t>
      </w:r>
    </w:p>
    <w:p>
      <w:pPr>
        <w:pStyle w:val="TextBody"/>
        <w:bidi w:val="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(11) </w:t>
      </w:r>
      <w:r>
        <w:rPr>
          <w:rFonts w:ascii="Times New Roman;Times;Serif" w:hAnsi="Times New Roman;Times;Serif"/>
          <w:b w:val="false"/>
          <w:i w:val="false"/>
          <w:caps w:val="false"/>
          <w:smallCaps w:val="false"/>
          <w:sz w:val="20"/>
        </w:rPr>
        <w:t>any and all other terms (including terms, to the extent applicable, relating to any auction or remarketing of the Securities of that series and any security for the obligations of the Company with respect to such Securities) with respect to such series (which terms shall not be inconsistent with the terms of this Indenture, as amended by any supplemental indenture) including any terms which may be required by or advisable under United States laws or regulations or advisable in connection with the marketing of Securities of that series;</w:t>
      </w:r>
    </w:p>
    <w:p>
      <w:pPr>
        <w:pStyle w:val="TextBody"/>
        <w:bidi w:val="0"/>
        <w:ind w:left="0" w:right="0" w:firstLine="1440"/>
        <w:jc w:val="both"/>
        <w:rPr>
          <w:caps w:val="false"/>
          <w:smallCaps w:val="false"/>
        </w:rPr>
      </w:pPr>
      <w:r>
        <w:rPr>
          <w:caps w:val="false"/>
          <w:smallCaps w:val="false"/>
        </w:rPr>
        <w:t> </w:t>
      </w:r>
    </w:p>
    <w:p>
      <w:pPr>
        <w:pStyle w:val="TextBody"/>
        <w:bidi w:val="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(12) </w:t>
      </w:r>
      <w:r>
        <w:rPr>
          <w:rFonts w:ascii="Times New Roman;Times;Serif" w:hAnsi="Times New Roman;Times;Serif"/>
          <w:b w:val="false"/>
          <w:i w:val="false"/>
          <w:caps w:val="false"/>
          <w:smallCaps w:val="false"/>
          <w:sz w:val="20"/>
        </w:rPr>
        <w:t>whether the Securities are issuable as a Global Security and, in such case, the terms and the identity of the Depositary for such series;</w:t>
      </w:r>
    </w:p>
    <w:p>
      <w:pPr>
        <w:pStyle w:val="TextBody"/>
        <w:bidi w:val="0"/>
        <w:ind w:left="0" w:right="0" w:firstLine="1440"/>
        <w:jc w:val="both"/>
        <w:rPr>
          <w:caps w:val="false"/>
          <w:smallCaps w:val="false"/>
        </w:rPr>
      </w:pPr>
      <w:r>
        <w:rPr>
          <w:caps w:val="false"/>
          <w:smallCaps w:val="false"/>
        </w:rPr>
        <w:t> </w:t>
      </w:r>
    </w:p>
    <w:p>
      <w:pPr>
        <w:pStyle w:val="TextBody"/>
        <w:bidi w:val="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(13) </w:t>
      </w:r>
      <w:r>
        <w:rPr>
          <w:rFonts w:ascii="Times New Roman;Times;Serif" w:hAnsi="Times New Roman;Times;Serif"/>
          <w:b w:val="false"/>
          <w:i w:val="false"/>
          <w:caps w:val="false"/>
          <w:smallCaps w:val="false"/>
          <w:sz w:val="20"/>
        </w:rPr>
        <w:t>whether the Securities will be convertible into or exchangeable for ordinary shares or other securities of the Company or any other Person and, if so, the terms and conditions upon which such Securities will be so convertible or exchangeable, including the conversion or exchange price, as applicable, or how it will be calculated and may be adjusted, any mandatory or optional (at the Company’s option or the holders’ option) conversion or exchange features, and the applicable conversion or exchange period;</w:t>
      </w:r>
    </w:p>
    <w:p>
      <w:pPr>
        <w:pStyle w:val="TextBody"/>
        <w:bidi w:val="0"/>
        <w:ind w:left="0" w:right="0" w:firstLine="1440"/>
        <w:jc w:val="both"/>
        <w:rPr>
          <w:caps w:val="false"/>
          <w:smallCaps w:val="false"/>
        </w:rPr>
      </w:pPr>
      <w:r>
        <w:rPr>
          <w:caps w:val="false"/>
          <w:smallCaps w:val="false"/>
        </w:rPr>
        <w:t> </w:t>
      </w:r>
    </w:p>
    <w:p>
      <w:pPr>
        <w:pStyle w:val="TextBody"/>
        <w:bidi w:val="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(14) </w:t>
      </w:r>
      <w:r>
        <w:rPr>
          <w:rFonts w:ascii="Times New Roman;Times;Serif" w:hAnsi="Times New Roman;Times;Serif"/>
          <w:b w:val="false"/>
          <w:i w:val="false"/>
          <w:caps w:val="false"/>
          <w:smallCaps w:val="false"/>
          <w:sz w:val="20"/>
        </w:rPr>
        <w:t>if other than the principal amount thereof, the portion of the principal amount of Securities of the series which shall be payable upon declaration of acceleration of the maturity thereof pursuant to Section 6.01;</w:t>
      </w:r>
    </w:p>
    <w:p>
      <w:pPr>
        <w:pStyle w:val="TextBody"/>
        <w:bidi w:val="0"/>
        <w:ind w:left="0" w:right="0" w:firstLine="1440"/>
        <w:jc w:val="both"/>
        <w:rPr>
          <w:caps w:val="false"/>
          <w:smallCaps w:val="false"/>
        </w:rPr>
      </w:pPr>
      <w:r>
        <w:rPr>
          <w:caps w:val="false"/>
          <w:smallCaps w:val="false"/>
        </w:rPr>
        <w:t> </w:t>
      </w:r>
    </w:p>
    <w:p>
      <w:pPr>
        <w:pStyle w:val="TextBody"/>
        <w:bidi w:val="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(15) </w:t>
      </w:r>
      <w:r>
        <w:rPr>
          <w:rFonts w:ascii="Times New Roman;Times;Serif" w:hAnsi="Times New Roman;Times;Serif"/>
          <w:b w:val="false"/>
          <w:i w:val="false"/>
          <w:caps w:val="false"/>
          <w:smallCaps w:val="false"/>
          <w:sz w:val="20"/>
        </w:rPr>
        <w:t>any additional or different Events of Default or restrictive covenants (which may include, among other restrictions, restrictions on the Company’s ability or the ability of the Company’s Subsidiaries to: incur additional indebtedness; issue additional securities; create liens; pay dividends or make distributions in respect of their capital shares; redeem capital shares; place restrictions on such Subsidiaries placing restrictions on their ability to pay dividends, make distributions or transfer assets; make investments or other restricted payments; sell or otherwise dispose of assets; enter into sale-leaseback transactions; engage in transactions with shareholders and affiliates; issue or sell shares of their Subsidiaries; or effect a consolidation or merger) or financial covenants (which may include, among other financial covenants, financial covenants that require the Company and its Subsidiaries to maintain specified interest coverage, fixed charge, cash flow-based or asset-based ratios) provided for with respect to the Securities of the series;</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(16) </w:t>
      </w:r>
      <w:r>
        <w:rPr>
          <w:rFonts w:ascii="Times New Roman;Times;Serif" w:hAnsi="Times New Roman;Times;Serif"/>
          <w:b w:val="false"/>
          <w:i w:val="false"/>
          <w:caps w:val="false"/>
          <w:smallCaps w:val="false"/>
          <w:sz w:val="20"/>
        </w:rPr>
        <w:t>if other than dollars, the coin or currency in which the Securities of the series are denominated (including, but not limited to, foreign currency);</w:t>
      </w:r>
    </w:p>
    <w:p>
      <w:pPr>
        <w:pStyle w:val="TextBody"/>
        <w:bidi w:val="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bdr w:val="single" w:sz="12" w:space="1" w:color="000000"/>
        </w:rPr>
      </w:pPr>
      <w:r>
        <w:rPr>
          <w:bdr w:val="single" w:sz="12" w:space="1" w:color="000000"/>
        </w:rPr>
        <w:t>6</w:t>
      </w:r>
    </w:p>
    <w:p>
      <w:pPr>
        <w:pStyle w:val="TextBody"/>
        <w:bidi w:val="0"/>
        <w:spacing w:before="0" w:after="0"/>
        <w:ind w:left="0" w:right="0" w:hanging="0"/>
        <w:jc w:val="left"/>
        <w:rPr/>
      </w:pPr>
      <w:r>
        <w:rPr/>
        <w:t> </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(17) </w:t>
      </w:r>
      <w:r>
        <w:rPr>
          <w:rFonts w:ascii="Times New Roman;Times;Serif" w:hAnsi="Times New Roman;Times;Serif"/>
          <w:b w:val="false"/>
          <w:i w:val="false"/>
          <w:caps w:val="false"/>
          <w:smallCaps w:val="false"/>
          <w:sz w:val="20"/>
        </w:rPr>
        <w:t>the terms and conditions, if any, upon which the Company shall pay amounts in addition to the stated interest, premium, if any and principal amounts of the Securities of the series to any Securityholder that is not a “United States person” for federal tax purposes; and</w:t>
      </w:r>
    </w:p>
    <w:p>
      <w:pPr>
        <w:pStyle w:val="TextBody"/>
        <w:bidi w:val="0"/>
        <w:ind w:left="0" w:right="0" w:firstLine="1440"/>
        <w:jc w:val="both"/>
        <w:rPr>
          <w:caps w:val="false"/>
          <w:smallCaps w:val="false"/>
        </w:rPr>
      </w:pPr>
      <w:r>
        <w:rPr>
          <w:caps w:val="false"/>
          <w:smallCaps w:val="false"/>
        </w:rPr>
        <w:t> </w:t>
      </w:r>
    </w:p>
    <w:p>
      <w:pPr>
        <w:pStyle w:val="TextBody"/>
        <w:bidi w:val="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(18) </w:t>
      </w:r>
      <w:r>
        <w:rPr>
          <w:rFonts w:ascii="Times New Roman;Times;Serif" w:hAnsi="Times New Roman;Times;Serif"/>
          <w:b w:val="false"/>
          <w:i w:val="false"/>
          <w:caps w:val="false"/>
          <w:smallCaps w:val="false"/>
          <w:sz w:val="20"/>
        </w:rPr>
        <w:t>any restrictions on transfer, sale or assignment of the Securities of the series.</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Securities of any one series shall be substantially identical except as to denomination and except as may otherwise be provided in or pursuant to any such Board Resolution or in any indentures supplemental hereto.</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any of the terms of the series are established by action taken pursuant to a Board Resolution of the Company, a copy of an appropriate record of such action shall be certified by the secretary or an assistant secretary of the Company and delivered to the Trustee at or prior to the delivery of the Officers’ Certificate of the Company setting forth the terms of the series.</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Securities of any particular series may be issued at various times, with different dates on which the principal or any installment of principal is payable, with different rates of interest, if any, or different methods by which rates of interest may be determined, with different dates on which such interest may be payable and with different redemption dates.</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bookmarkStart w:id="21" w:name="a_0051"/>
      <w:bookmarkEnd w:id="21"/>
      <w:r>
        <w:rPr>
          <w:rFonts w:ascii="Times New Roman;Times;Serif" w:hAnsi="Times New Roman;Times;Serif"/>
          <w:b/>
          <w:i w:val="false"/>
          <w:caps w:val="false"/>
          <w:smallCaps w:val="false"/>
          <w:sz w:val="20"/>
        </w:rPr>
        <w:t>Section 2.02 Form of Securities and Trustee’s Certificate.</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Securities of any series and the Trustee’s certificate of authentication to be borne by such Securities shall be substantially of the tenor and purport as set forth in one or more indentures supplemental hereto or as provided in a Board Resolution, and set forth in an Officers’ Certificate, and they may have such letters, numbers or other marks of identification or designation and such legends or endorsements printed, lithographed or engraved thereon as the Company may deem appropriate and as are not inconsistent with the provisions of this Indenture, or as may be required to comply with any law or with any rule or regulation made pursuant thereto or with any rule or regulation of any securities exchange on which Securities of that series may be listed, or to conform to usage.</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bookmarkStart w:id="22" w:name="a_0061"/>
      <w:bookmarkEnd w:id="22"/>
      <w:r>
        <w:rPr>
          <w:rFonts w:ascii="Times New Roman;Times;Serif" w:hAnsi="Times New Roman;Times;Serif"/>
          <w:b/>
          <w:i w:val="false"/>
          <w:caps w:val="false"/>
          <w:smallCaps w:val="false"/>
          <w:sz w:val="20"/>
        </w:rPr>
        <w:t>Section 2.03 Denominations: Provisions for Payment.</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Securities shall be issuable as registered Securities and in the denominations of one thousand U.S. dollars ($1,000) or any integral multiple thereof, subject to Section 2.01(a)(10). The Securities of a particular series shall bear interest payable on the dates and at the rate specified with respect to that series. Subject to Section 2.01(a)(16), the principal of and the interest on the Securities of any series, as well as any premium thereon in case of redemption thereof prior to maturity, shall be payable in the coin or currency of the United States of America that at the time is legal tender for public and private debt, at the office or agency of the Company maintained for that purpose in the Borough of Manhattan, the City and State of New York. Each Security shall be dated the date of its authentication. Interest on the Securities shall be computed on the basis of a 360-day year composed of twelve 30-day months.</w:t>
      </w:r>
    </w:p>
    <w:p>
      <w:pPr>
        <w:pStyle w:val="TextBody"/>
        <w:bidi w:val="0"/>
        <w:jc w:val="both"/>
        <w:rPr>
          <w:caps w:val="false"/>
          <w:smallCaps w:val="false"/>
        </w:rPr>
      </w:pPr>
      <w:r>
        <w:rPr>
          <w:caps w:val="false"/>
          <w:smallCaps w:val="false"/>
        </w:rPr>
        <w:t> </w:t>
      </w:r>
    </w:p>
    <w:p>
      <w:pPr>
        <w:pStyle w:val="TextBody"/>
        <w:bidi w:val="0"/>
        <w:spacing w:before="0" w:after="0"/>
        <w:jc w:val="center"/>
        <w:rPr>
          <w:bdr w:val="single" w:sz="12" w:space="1" w:color="000000"/>
        </w:rPr>
      </w:pPr>
      <w:r>
        <w:rPr>
          <w:bdr w:val="single" w:sz="12" w:space="1" w:color="000000"/>
        </w:rPr>
        <w:t>7</w:t>
      </w:r>
    </w:p>
    <w:p>
      <w:pPr>
        <w:pStyle w:val="TextBody"/>
        <w:bidi w:val="0"/>
        <w:spacing w:before="0" w:after="0"/>
        <w:ind w:left="0" w:right="0" w:hanging="0"/>
        <w:jc w:val="left"/>
        <w:rPr/>
      </w:pPr>
      <w:r>
        <w:rPr/>
        <w:t> </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interest installment on any Security that is payable, and is punctually paid or duly provided for, on any Interest Payment Date for Securities of that series shall be paid to the Person in whose name said Security (or one or more Predecessor Securities) is registered at the close of business on the regular record date for such interest installment. In the event that any Security of a particular series or portion thereof is called for redemption and the redemption date is subsequent to a regular record date with respect to any Interest Payment Date and prior to such Interest Payment Date, interest on such Security will be paid upon presentation and surrender of such Security as provided in Section 3.03.</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interest on any Security that is payable, but is not punctually paid or duly provided for, on any Interest Payment Date for Securities of the same series (herein called “Defaulted Interest”) shall forthwith cease to be payable to the registered holder on the relevant regular record date by virtue of having been such holder; and such Defaulted Interest shall be paid by the Company, at its election, as provided in clause (1) or clause (2) below:</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(1) </w:t>
      </w:r>
      <w:r>
        <w:rPr>
          <w:rFonts w:ascii="Times New Roman;Times;Serif" w:hAnsi="Times New Roman;Times;Serif"/>
          <w:b w:val="false"/>
          <w:i w:val="false"/>
          <w:caps w:val="false"/>
          <w:smallCaps w:val="false"/>
          <w:sz w:val="20"/>
        </w:rPr>
        <w:t>The Company may make payment of any Defaulted Interest on Securities to the Persons in whose names such Securities (or their respective Predecessor Securities) are registered at the close of business on a special record date for the payment of such Defaulted Interest, which shall be fixed in the following manner: the Company shall notify the Trustee in writing of the amount of Defaulted Interest proposed to be paid on each such Security and the date of the proposed payment, and at the same time the Company shall deposit with the Trustee an amount of money equal to the aggregate amount proposed to be paid in respect of such Defaulted Interest or shall make arrangements satisfactory to the Trustee for such deposit prior to the date of the proposed payment, such money when deposited to be held in trust for the benefit of the Persons entitled to such Defaulted Interest as in this clause provided. Thereupon the Trustee shall fix a special record date for the payment of such Defaulted Interest which shall not be more than 15 nor less than 10 days prior to the date of the proposed payment and not less than 10 days after the receipt by the Trustee of the notice of the proposed payment. The Trustee shall promptly notify the Company of such special record date and, in the name and at the expense of the Company, shall cause notice of the proposed payment of such Defaulted Interest and the special record date therefor to be mailed, first class postage prepaid, to each Securityholder at his or her address as it appears in the Security Register (as hereinafter defined), not less than 10 days prior to such special record date. Notice of the proposed payment of such Defaulted Interest and the special record date therefor having been mailed as aforesaid, such Defaulted Interest shall be paid to the Persons in whose names such Securities (or their respective Predecessor Securities) are registered on such special record date.</w:t>
      </w:r>
    </w:p>
    <w:p>
      <w:pPr>
        <w:pStyle w:val="TextBody"/>
        <w:bidi w:val="0"/>
        <w:ind w:left="0" w:right="0" w:firstLine="1440"/>
        <w:jc w:val="both"/>
        <w:rPr>
          <w:caps w:val="false"/>
          <w:smallCaps w:val="false"/>
        </w:rPr>
      </w:pPr>
      <w:r>
        <w:rPr>
          <w:caps w:val="false"/>
          <w:smallCaps w:val="false"/>
        </w:rPr>
        <w:t> </w:t>
      </w:r>
    </w:p>
    <w:p>
      <w:pPr>
        <w:pStyle w:val="TextBody"/>
        <w:bidi w:val="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(2) </w:t>
      </w:r>
      <w:r>
        <w:rPr>
          <w:rFonts w:ascii="Times New Roman;Times;Serif" w:hAnsi="Times New Roman;Times;Serif"/>
          <w:b w:val="false"/>
          <w:i w:val="false"/>
          <w:caps w:val="false"/>
          <w:smallCaps w:val="false"/>
          <w:sz w:val="20"/>
        </w:rPr>
        <w:t>The Company may make payment of any Defaulted Interest on any Securities in any other lawful manner not inconsistent with the requirements of any securities exchange on which such Securities may be listed, and upon such notice as may be required by such exchange, if, after notice given by the Company to the Trustee of the proposed payment pursuant to this clause, such manner of payment shall be deemed practicable by the Trustee.</w:t>
      </w:r>
    </w:p>
    <w:p>
      <w:pPr>
        <w:pStyle w:val="TextBody"/>
        <w:bidi w:val="0"/>
        <w:jc w:val="both"/>
        <w:rPr>
          <w:caps w:val="false"/>
          <w:smallCaps w:val="false"/>
        </w:rPr>
      </w:pPr>
      <w:r>
        <w:rPr>
          <w:caps w:val="false"/>
          <w:smallCaps w:val="false"/>
        </w:rPr>
        <w:t> </w:t>
      </w:r>
    </w:p>
    <w:p>
      <w:pPr>
        <w:pStyle w:val="TextBody"/>
        <w:bidi w:val="0"/>
        <w:spacing w:before="0" w:after="0"/>
        <w:jc w:val="center"/>
        <w:rPr>
          <w:bdr w:val="single" w:sz="12" w:space="1" w:color="000000"/>
        </w:rPr>
      </w:pPr>
      <w:r>
        <w:rPr>
          <w:bdr w:val="single" w:sz="12" w:space="1" w:color="000000"/>
        </w:rPr>
        <w:t>8</w:t>
      </w:r>
    </w:p>
    <w:p>
      <w:pPr>
        <w:pStyle w:val="TextBody"/>
        <w:bidi w:val="0"/>
        <w:spacing w:before="0" w:after="0"/>
        <w:ind w:left="0" w:right="0" w:hanging="0"/>
        <w:jc w:val="left"/>
        <w:rPr/>
      </w:pPr>
      <w:r>
        <w:rPr/>
        <w:t> </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Unless otherwise set forth in a Board Resolution or one or more indentures supplemental hereto establishing the terms of any series of Securities pursuant to Section 2.01 hereof, the term “regular record date” as used in this Section with respect to a series of Securities and any Interest Payment Date for such series shall mean either the fifteenth day of the month immediately preceding the month in which an Interest Payment Date established for such series pursuant to Section 2.01 hereof shall occur, if such Interest Payment Date is the first day of a month, or the first day of the month in which an Interest Payment Date established for such series pursuant to Section 2.01 hereof shall occur, if such Interest Payment Date is the fifteenth day of a month, whether or not such date is a Business Day.</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Subject to the foregoing provisions of this Section, each Security of a series delivered under this Indenture upon transfer of or in exchange for or in lieu of any other Security of such series shall carry the rights to interest accrued and unpaid, and to accrue, that were carried by such other Security.</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bookmarkStart w:id="23" w:name="a_0071"/>
      <w:bookmarkEnd w:id="23"/>
      <w:r>
        <w:rPr>
          <w:rFonts w:ascii="Times New Roman;Times;Serif" w:hAnsi="Times New Roman;Times;Serif"/>
          <w:b/>
          <w:i w:val="false"/>
          <w:caps w:val="false"/>
          <w:smallCaps w:val="false"/>
          <w:sz w:val="20"/>
        </w:rPr>
        <w:t>Section 2.04 Execution and Authentication.</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Securities shall be signed on behalf of the Company by one of its Officers. Signatures may be in the form of a manual or facsimile signature.</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may use the facsimile signature of any Person who shall have been an Officer, notwithstanding the fact that at the time the Securities shall be authenticated and delivered or disposed of such Person shall have ceased to be such an officer of the Company. The Securities may contain such notations, legends or endorsements required by law, stock exchange rule or usage. Each Security shall be dated the date of its authentication by the Trustee.</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Security shall not be valid until authenticated manually by an authorized signatory of the Trustee, or by an Authenticating Agent. Such signature shall be conclusive evidence that the Security so authenticated has been duly authenticated and delivered hereunder and that the holder is entitled to the benefits of this Indenture. At any time and from time to time after the execution and delivery of this Indenture, the Company may deliver Securities of any series executed by the Company to the Trustee for authentication, together with a written order of the Company for the authentication and delivery of such Securities, signed by an Officer, and the Trustee in accordance with such written order shall authenticate and deliver such Securities.</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authenticating such Securities and accepting the additional responsibilities under this Indenture in relation to such Securities, the Trustee shall be entitled to receive, and (subject to Section 7.01) shall be fully protected in relying upon, an Opinion of Counsel stating that the form and terms thereof have been established in conformity with the provisions of this Indenture.</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Trustee shall not be required to authenticate such Securities if the issue of such Securities pursuant to this Indenture will affect the Trustee’s own rights, duties or immunities under the Securities and this Indenture or otherwise in a manner that is not reasonably acceptable to the Trustee.</w:t>
      </w:r>
    </w:p>
    <w:p>
      <w:pPr>
        <w:pStyle w:val="TextBody"/>
        <w:bidi w:val="0"/>
        <w:jc w:val="both"/>
        <w:rPr>
          <w:caps w:val="false"/>
          <w:smallCaps w:val="false"/>
        </w:rPr>
      </w:pPr>
      <w:r>
        <w:rPr>
          <w:caps w:val="false"/>
          <w:smallCaps w:val="false"/>
        </w:rPr>
        <w:t> </w:t>
      </w:r>
    </w:p>
    <w:p>
      <w:pPr>
        <w:pStyle w:val="TextBody"/>
        <w:bidi w:val="0"/>
        <w:spacing w:before="0" w:after="0"/>
        <w:jc w:val="center"/>
        <w:rPr>
          <w:bdr w:val="single" w:sz="12" w:space="1" w:color="000000"/>
        </w:rPr>
      </w:pPr>
      <w:r>
        <w:rPr>
          <w:bdr w:val="single" w:sz="12" w:space="1" w:color="000000"/>
        </w:rPr>
        <w:t>9</w:t>
      </w:r>
    </w:p>
    <w:p>
      <w:pPr>
        <w:pStyle w:val="TextBody"/>
        <w:bidi w:val="0"/>
        <w:spacing w:before="0" w:after="0"/>
        <w:ind w:left="0" w:right="0" w:hanging="0"/>
        <w:jc w:val="left"/>
        <w:rPr/>
      </w:pPr>
      <w:r>
        <w:rPr/>
        <w:t> </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bookmarkStart w:id="24" w:name="a_0081"/>
      <w:bookmarkEnd w:id="24"/>
      <w:r>
        <w:rPr>
          <w:rFonts w:ascii="Times New Roman;Times;Serif" w:hAnsi="Times New Roman;Times;Serif"/>
          <w:b/>
          <w:i w:val="false"/>
          <w:caps w:val="false"/>
          <w:smallCaps w:val="false"/>
          <w:sz w:val="20"/>
        </w:rPr>
        <w:t>Section 2.05 Registration of Transfer and Exchange.</w:t>
      </w:r>
    </w:p>
    <w:p>
      <w:pPr>
        <w:pStyle w:val="TextBody"/>
        <w:bidi w:val="0"/>
        <w:ind w:left="0" w:right="0" w:firstLine="720"/>
        <w:jc w:val="left"/>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(a) </w:t>
      </w:r>
      <w:r>
        <w:rPr>
          <w:rFonts w:ascii="Times New Roman;Times;Serif" w:hAnsi="Times New Roman;Times;Serif"/>
          <w:b w:val="false"/>
          <w:i w:val="false"/>
          <w:caps w:val="false"/>
          <w:smallCaps w:val="false"/>
          <w:sz w:val="20"/>
        </w:rPr>
        <w:t>Securities of any series may be exchanged upon presentation thereof at the office or agency of the Company designated for such purpose in the Borough of Manhattan, the City and State of New York, for other Securities of such series of authorized denominations, and for a like aggregate principal amount, upon payment of a sum sufficient to cover any tax or other governmental charge in relation thereto, all as provided in this Section. In respect of any Securities so surrendered for exchange, the Company shall execute, the Trustee shall authenticate and such office or agency shall deliver in exchange therefor the Security or Securities of the same series that the Securityholder making the exchange shall be entitled to receive, bearing numbers not contemporaneously outstanding.</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(b) </w:t>
      </w:r>
      <w:r>
        <w:rPr>
          <w:rFonts w:ascii="Times New Roman;Times;Serif" w:hAnsi="Times New Roman;Times;Serif"/>
          <w:b w:val="false"/>
          <w:i w:val="false"/>
          <w:caps w:val="false"/>
          <w:smallCaps w:val="false"/>
          <w:sz w:val="20"/>
        </w:rPr>
        <w:t>The Company shall keep, or cause to be kept, at its office or agency designated for such purpose in the Borough of Manhattan, the City and State of New York, or such other location designated by the Company, a register or registers (herein referred to as the “Security Register”) in which, subject to such reasonable regulations as it may prescribe, the Company shall register the Securities and the transfers of Securities as in this Article provided and which at all reasonable times shall be open for inspection by the Trustee. The registrar for the purpose of registering Securities and transfer of Securities as herein provided shall be appointed as authorized by Board Resolution (the “Security Registrar”).</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Upon surrender for transfer of any Security at the office or agency of the Company designated for such purpose, the Company shall execute, the Trustee shall authenticate and such office or agency shall deliver in the name of the transferee or transferees a new Security or Securities of the same series as the Security presented for a like aggregate principal amount.</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Securities presented or surrendered for exchange or registration of transfer, as provided in this Section, shall be accompanied (if so required by the Company or the Security Registrar) by a written instrument or instruments of transfer, in form satisfactory to the Company or the Security Registrar, duly executed by the registered holder or by such holder’s duly authorized attorney in writing.</w:t>
      </w:r>
    </w:p>
    <w:p>
      <w:pPr>
        <w:pStyle w:val="TextBody"/>
        <w:bidi w:val="0"/>
        <w:ind w:left="0" w:right="0" w:firstLine="720"/>
        <w:jc w:val="left"/>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(c) </w:t>
      </w:r>
      <w:r>
        <w:rPr>
          <w:rFonts w:ascii="Times New Roman;Times;Serif" w:hAnsi="Times New Roman;Times;Serif"/>
          <w:b w:val="false"/>
          <w:i w:val="false"/>
          <w:caps w:val="false"/>
          <w:smallCaps w:val="false"/>
          <w:sz w:val="20"/>
        </w:rPr>
        <w:t>Except as provided pursuant to Section 2.01 pursuant to a Board Resolution, and set forth in an Officers’ Certificate, or established in one or more indentures supplemental to this Indenture, no service charge shall be made for any exchange or registration of transfer of Securities, or issue of new Securities in case of partial redemption of any series, but the Company may require payment of a sum sufficient to cover any tax or other governmental charge in relation thereto, other than exchanges pursuant to Section 2.06, Section 3.03(b) and Section 9.04 not involving any transfer.</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(d) </w:t>
      </w:r>
      <w:r>
        <w:rPr>
          <w:rFonts w:ascii="Times New Roman;Times;Serif" w:hAnsi="Times New Roman;Times;Serif"/>
          <w:b w:val="false"/>
          <w:i w:val="false"/>
          <w:caps w:val="false"/>
          <w:smallCaps w:val="false"/>
          <w:sz w:val="20"/>
        </w:rPr>
        <w:t>The Company shall not be required (i) to issue, exchange or register the transfer of any Securities during a period beginning at the opening of business 15 days before the day of the mailing of a notice of redemption of less than all the Outstanding Securities of the same series and ending at the close of business on the day of such mailing, nor (ii) to register the transfer of or exchange any Securities of any series or portions thereof called for redemption, other than the unredeemed portion of any such Securities being redeemed in part. The provisions of this Section 2.05 are, with respect to any Global Security, subject to Section 2.11 hereof.</w:t>
      </w:r>
    </w:p>
    <w:p>
      <w:pPr>
        <w:pStyle w:val="TextBody"/>
        <w:bidi w:val="0"/>
        <w:jc w:val="both"/>
        <w:rPr>
          <w:caps w:val="false"/>
          <w:smallCaps w:val="false"/>
        </w:rPr>
      </w:pPr>
      <w:r>
        <w:rPr>
          <w:caps w:val="false"/>
          <w:smallCaps w:val="false"/>
        </w:rPr>
        <w:t> </w:t>
      </w:r>
    </w:p>
    <w:p>
      <w:pPr>
        <w:pStyle w:val="TextBody"/>
        <w:bidi w:val="0"/>
        <w:spacing w:before="0" w:after="0"/>
        <w:jc w:val="center"/>
        <w:rPr>
          <w:bdr w:val="single" w:sz="12" w:space="1" w:color="000000"/>
        </w:rPr>
      </w:pPr>
      <w:r>
        <w:rPr>
          <w:bdr w:val="single" w:sz="12" w:space="1" w:color="000000"/>
        </w:rPr>
        <w:t>10</w:t>
      </w:r>
    </w:p>
    <w:p>
      <w:pPr>
        <w:pStyle w:val="TextBody"/>
        <w:bidi w:val="0"/>
        <w:spacing w:before="0" w:after="0"/>
        <w:ind w:left="0" w:right="0" w:hanging="0"/>
        <w:jc w:val="left"/>
        <w:rPr/>
      </w:pPr>
      <w:r>
        <w:rPr/>
        <w:t> </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bookmarkStart w:id="25" w:name="a_0091"/>
      <w:bookmarkEnd w:id="25"/>
      <w:r>
        <w:rPr>
          <w:rFonts w:ascii="Times New Roman;Times;Serif" w:hAnsi="Times New Roman;Times;Serif"/>
          <w:b/>
          <w:i w:val="false"/>
          <w:caps w:val="false"/>
          <w:smallCaps w:val="false"/>
          <w:sz w:val="20"/>
        </w:rPr>
        <w:t>Section 2.06 Temporary Securities.</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Pending the preparation of definitive Securities of any series, the Company may execute, and the Trustee shall authenticate and deliver, temporary Securities (printed, lithographed or typewritten) of any authorized denomination. Such temporary Securities shall be substantially in the form of the definitive Securities in lieu of which they are issued, but with such omissions, insertions and variations as may be appropriate for temporary Securities, all as may be determined by the Company. Every temporary Security of any series shall be executed by the Company and be authenticated by the Trustee upon the same conditions and in substantially the same manner, and with like effect, as the definitive Securities of such series. Without unnecessary delay the Company will execute and will furnish definitive Securities of such series and thereupon any or all temporary Securities of such series may be surrendered in exchange therefor (without charge to the holders), at the office or agency of the Company designated for the purpose in the Borough of Manhattan, the City and State of New York, and the Trustee shall authenticate and such office or agency shall deliver in exchange for such temporary Securities an equal aggregate principal amount of definitive Securities of such series, unless the Company advises the Trustee to the effect that definitive Securities need not be executed and furnished until further notice from the Company. Until so exchanged, the temporary Securities of such series shall be entitled to the same benefits under this Indenture as definitive Securities of such series authenticated and delivered hereunder.</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bookmarkStart w:id="26" w:name="a_0101"/>
      <w:bookmarkEnd w:id="26"/>
      <w:r>
        <w:rPr>
          <w:rFonts w:ascii="Times New Roman;Times;Serif" w:hAnsi="Times New Roman;Times;Serif"/>
          <w:b/>
          <w:i w:val="false"/>
          <w:caps w:val="false"/>
          <w:smallCaps w:val="false"/>
          <w:sz w:val="20"/>
        </w:rPr>
        <w:t>Section 2.07 Mutilated, Destroyed, Lost or Stolen Securities.</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case any temporary or definitive Security shall become mutilated or be destroyed, lost or stolen, the Company (subject to the next succeeding sentence) shall execute, and upon the Company’s request the Trustee (subject as aforesaid) shall authenticate and deliver, a new Security of the same series, bearing a number not contemporaneously outstanding, in exchange and substitution for the mutilated Security, or in lieu of and in substitution for the Security so destroyed, lost or stolen. In every case the applicant for a substituted Security shall furnish to the Company and the Trustee such security or indemnity as may be required by them to save each of them harmless, and, in every case of destruction, loss or theft, the applicant shall also furnish to the Company and the Trustee evidence to their satisfaction of the destruction, loss or theft of the applicant’s Security and of the ownership thereof. The Trustee may authenticate any such substituted Security and deliver the same upon the written request or authorization of any officer of the Company. Upon the issuance of any substituted Security, the Company may require the payment of a sum sufficient to cover any tax or other governmental charge that may be imposed in relation thereto and any other expenses (including the fees and expenses of the Trustee) connected therewith.</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case any Security that has matured or is about to mature shall become mutilated or be destroyed, lost or stolen, the Company may, instead of issuing a substitute Security, pay or authorize the payment of the same (without surrender thereof except in the case of a mutilated Security) if the applicant for such payment shall furnish to the Company and the Trustee such security or indemnity as they may require to save them harmless, and, in case of destruction, loss or theft, evidence to the satisfaction of the Company and the Trustee of the destruction, loss or theft of such Security and of the ownership thereof.</w:t>
      </w:r>
    </w:p>
    <w:p>
      <w:pPr>
        <w:pStyle w:val="TextBody"/>
        <w:bidi w:val="0"/>
        <w:jc w:val="both"/>
        <w:rPr>
          <w:caps w:val="false"/>
          <w:smallCaps w:val="false"/>
        </w:rPr>
      </w:pPr>
      <w:r>
        <w:rPr>
          <w:caps w:val="false"/>
          <w:smallCaps w:val="false"/>
        </w:rPr>
        <w:t> </w:t>
      </w:r>
    </w:p>
    <w:p>
      <w:pPr>
        <w:pStyle w:val="TextBody"/>
        <w:bidi w:val="0"/>
        <w:spacing w:before="0" w:after="0"/>
        <w:jc w:val="center"/>
        <w:rPr>
          <w:bdr w:val="single" w:sz="12" w:space="1" w:color="000000"/>
        </w:rPr>
      </w:pPr>
      <w:r>
        <w:rPr>
          <w:bdr w:val="single" w:sz="12" w:space="1" w:color="000000"/>
        </w:rPr>
        <w:t>11</w:t>
      </w:r>
    </w:p>
    <w:p>
      <w:pPr>
        <w:pStyle w:val="TextBody"/>
        <w:bidi w:val="0"/>
        <w:spacing w:before="0" w:after="0"/>
        <w:ind w:left="0" w:right="0" w:hanging="0"/>
        <w:jc w:val="left"/>
        <w:rPr/>
      </w:pPr>
      <w:r>
        <w:rPr/>
        <w:t> </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Every replacement Security issued pursuant to the provisions of this Section shall constitute an additional contractual obligation of the Company whether or not the mutilated, destroyed, lost or stolen Security shall be found at any time, or be enforceable by anyone, and shall be entitled to all the benefits of this Indenture equally and proportionately with any and all other Securities of the same series duly issued hereunder. All Securities shall be held and owned upon the express condition that the foregoing provisions are exclusive with respect to the replacement or payment of mutilated, destroyed, lost or stolen Securities, and shall preclude (to the extent lawful) any and all other rights or remedies, notwithstanding any law or statute existing or hereafter enacted to the contrary with respect to the replacement or payment of negotiable instruments or other securities without their surrender.</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bookmarkStart w:id="27" w:name="a_0111"/>
      <w:bookmarkEnd w:id="27"/>
      <w:r>
        <w:rPr>
          <w:rFonts w:ascii="Times New Roman;Times;Serif" w:hAnsi="Times New Roman;Times;Serif"/>
          <w:b/>
          <w:i w:val="false"/>
          <w:caps w:val="false"/>
          <w:smallCaps w:val="false"/>
          <w:sz w:val="20"/>
        </w:rPr>
        <w:t>Section 2.08 Cancellation.</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Securities surrendered for the purpose of payment, redemption, exchange or registration of transfer shall, if surrendered to the Company or any paying agent, be delivered to the Trustee for cancellation, or, if surrendered to the Trustee, shall be cancelled by it, and no Securities shall be issued in lieu thereof except as expressly required or permitted by any of the provisions of this Indenture. In the absence of such request the Trustee may dispose of canceled Securities in accordance with its standard procedures and deliver a certificate of disposition to the Company. If the Company shall otherwise acquire any of the Securities, however, such acquisition shall not operate as a redemption or satisfaction of the indebtedness represented by such Securities unless and until the same are delivered to the Trustee for cancellation.</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bookmarkStart w:id="28" w:name="a_0121"/>
      <w:bookmarkEnd w:id="28"/>
      <w:r>
        <w:rPr>
          <w:rFonts w:ascii="Times New Roman;Times;Serif" w:hAnsi="Times New Roman;Times;Serif"/>
          <w:b/>
          <w:i w:val="false"/>
          <w:caps w:val="false"/>
          <w:smallCaps w:val="false"/>
          <w:sz w:val="20"/>
        </w:rPr>
        <w:t>Section 2.09 Benefits of Indenture.</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Nothing in this Indenture or in the Securities, express or implied, shall give or be construed to give to any Person, other than the parties hereto and the holders of the Securities any legal or equitable right, remedy or claim under or in respect of this Indenture, or under any covenant, condition or provision herein contained; all such covenants, conditions and provisions being for the sole benefit of the parties hereto and of the holders of the Securities.</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bookmarkStart w:id="29" w:name="a_0131"/>
      <w:bookmarkEnd w:id="29"/>
      <w:r>
        <w:rPr>
          <w:rFonts w:ascii="Times New Roman;Times;Serif" w:hAnsi="Times New Roman;Times;Serif"/>
          <w:b/>
          <w:i w:val="false"/>
          <w:caps w:val="false"/>
          <w:smallCaps w:val="false"/>
          <w:sz w:val="20"/>
        </w:rPr>
        <w:t>Section 2.10 Authenticating Agent.</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So long as any of the Securities of any series remain Outstanding there may be an Authenticating Agent for any or all such series of Securities which the Trustee shall have the right to appoint. Said Authenticating Agent shall be authorized to act on behalf of the Trustee to authenticate Securities of such series issued upon exchange, transfer or partial redemption thereof, and Securities so authenticated shall be entitled to the benefits of this Indenture and shall be valid and obligatory for all purposes as if authenticated by the Trustee hereunder. All references in this Indenture to the authentication of Securities by the Trustee shall be deemed to include authentication by an Authenticating Agent for such series. Each Authenticating Agent shall be acceptable to the Company and shall be a corporation that has a combined capital and surplus, as most recently reported or determined by it, sufficient under the laws of any jurisdiction under which it is organized or in which it is doing business to conduct a trust business, and that is otherwise authorized under such laws to conduct such business and is subject to supervision or examination by federal or state authorities. If at any time any Authenticating Agent shall cease to be eligible in accordance with these provisions, it shall resign immediately.</w:t>
      </w:r>
    </w:p>
    <w:p>
      <w:pPr>
        <w:pStyle w:val="TextBody"/>
        <w:bidi w:val="0"/>
        <w:jc w:val="both"/>
        <w:rPr>
          <w:caps w:val="false"/>
          <w:smallCaps w:val="false"/>
        </w:rPr>
      </w:pPr>
      <w:r>
        <w:rPr>
          <w:caps w:val="false"/>
          <w:smallCaps w:val="false"/>
        </w:rPr>
        <w:t> </w:t>
      </w:r>
    </w:p>
    <w:p>
      <w:pPr>
        <w:pStyle w:val="TextBody"/>
        <w:bidi w:val="0"/>
        <w:spacing w:before="0" w:after="0"/>
        <w:jc w:val="center"/>
        <w:rPr>
          <w:bdr w:val="single" w:sz="12" w:space="1" w:color="000000"/>
        </w:rPr>
      </w:pPr>
      <w:r>
        <w:rPr>
          <w:bdr w:val="single" w:sz="12" w:space="1" w:color="000000"/>
        </w:rPr>
        <w:t>12</w:t>
      </w:r>
    </w:p>
    <w:p>
      <w:pPr>
        <w:pStyle w:val="TextBody"/>
        <w:bidi w:val="0"/>
        <w:spacing w:before="0" w:after="0"/>
        <w:ind w:left="0" w:right="0" w:hanging="0"/>
        <w:jc w:val="left"/>
        <w:rPr/>
      </w:pPr>
      <w:r>
        <w:rPr/>
        <w:t> </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Authenticating Agent may at any time resign by giving written notice of resignation to the Trustee and to the Company. The Trustee may at any time (and upon request by the Company shall) terminate the agency of any Authenticating Agent by giving written notice of termination to such Authenticating Agent and to the Company. Upon resignation, termination or cessation of eligibility of any Authenticating Agent, the Trustee may appoint an eligible successor Authenticating Agent acceptable to the Company. Any successor Authenticating Agent, upon acceptance of its appointment hereunder, shall become vested with all the rights, powers and duties of its predecessor hereunder as if originally named as an Authenticating Agent pursuant hereto.</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bookmarkStart w:id="30" w:name="a_014"/>
      <w:bookmarkEnd w:id="30"/>
      <w:r>
        <w:rPr>
          <w:rFonts w:ascii="Times New Roman;Times;Serif" w:hAnsi="Times New Roman;Times;Serif"/>
          <w:b/>
          <w:i w:val="false"/>
          <w:caps w:val="false"/>
          <w:smallCaps w:val="false"/>
          <w:sz w:val="20"/>
        </w:rPr>
        <w:t>Section 2.11 Global Securities.</w:t>
      </w:r>
    </w:p>
    <w:p>
      <w:pPr>
        <w:pStyle w:val="TextBody"/>
        <w:bidi w:val="0"/>
        <w:ind w:left="0" w:right="0" w:firstLine="720"/>
        <w:jc w:val="left"/>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(a) </w:t>
      </w:r>
      <w:r>
        <w:rPr>
          <w:rFonts w:ascii="Times New Roman;Times;Serif" w:hAnsi="Times New Roman;Times;Serif"/>
          <w:b w:val="false"/>
          <w:i w:val="false"/>
          <w:caps w:val="false"/>
          <w:smallCaps w:val="false"/>
          <w:sz w:val="20"/>
        </w:rPr>
        <w:t>If the Company shall establish pursuant to Section 2.01 that the Securities of a particular series are to be issued as a Global Security, then the Company shall execute and the Trustee shall, in accordance with Section 2.04, authenticate and deliver, a Global Security that (i) shall represent, and shall be denominated in an amount equal to the aggregate principal amount of, all of the Outstanding Securities of such series, (ii) shall be registered in the name of the Depositary or its nominee, (iii) shall be delivered by the Trustee to the Depositary or pursuant to the Depositary’s instruction and (iv) shall bear a legend substantially to the following effect: “Except as otherwise provided in Section 2.11 of the Indenture, this Security may be transferred, in whole but not in part, only to another nominee of the Depositary or to a successor Depositary or to a nominee of such successor Depositary.”</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(b) </w:t>
      </w:r>
      <w:r>
        <w:rPr>
          <w:rFonts w:ascii="Times New Roman;Times;Serif" w:hAnsi="Times New Roman;Times;Serif"/>
          <w:b w:val="false"/>
          <w:i w:val="false"/>
          <w:caps w:val="false"/>
          <w:smallCaps w:val="false"/>
          <w:sz w:val="20"/>
        </w:rPr>
        <w:t>Notwithstanding the provisions of Section 2.05, the Global Security of a series may be transferred, in whole but not in part and in the manner provided in Section 2.05, only to another nominee of the Depositary for such series, or to a successor Depositary for such series selected or approved by the Company or to a nominee of such successor Depositary.</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(c) </w:t>
      </w:r>
      <w:r>
        <w:rPr>
          <w:rFonts w:ascii="Times New Roman;Times;Serif" w:hAnsi="Times New Roman;Times;Serif"/>
          <w:b w:val="false"/>
          <w:i w:val="false"/>
          <w:caps w:val="false"/>
          <w:smallCaps w:val="false"/>
          <w:sz w:val="20"/>
        </w:rPr>
        <w:t>If at any time the Depositary for a series of the Securities notifies the Company that it is unwilling or unable to continue as Depositary for such series or if at any time the Depositary for such series shall no longer be registered or in good standing under the Exchange Act, or other applicable statute or regulation, and a successor Depositary for such series is not appointed by the Company within 90 days after the Company receives such notice or becomes aware of such condition, as the case may be, or if an Event of Default has occurred and is continuing and the Company has received a request from the Depositary, this Section 2.11 shall no longer be applicable to the Securities of such series and the Company will execute, and subject to Section 2.04, the Trustee will authenticate and deliver the Securities of such series in definitive registered form without coupons, in authorized denominations, and in an aggregate principal amount equal to the principal amount of the Global Security of such series in exchange for such Global Security. In addition, the Company may at any time determine that the Securities of any series shall no longer be represented by a Global Security and that the provisions of this Section 2.11 shall no longer apply to the Securities of such series. In such event the Company will execute and, subject to Section 2.04, the Trustee, upon receipt of an Officers’ Certificate evidencing such determination by the Company, will authenticate and deliver the Securities of such series in definitive registered form without coupons, in authorized denominations, and in an aggregate principal amount equal to the principal amount of the Global Security of such series in exchange for such Global Security. Upon the exchange of the Global Security for such Securities in definitive registered form without coupons, in authorized denominations, the Global Security shall be canceled by the Trustee. Such Securities in definitive registered form issued in exchange for the Global Security pursuant to this Section 2.11(c) shall be registered in such names and in such authorized denominations as the Depositary, pursuant to instructions from its direct or indirect participants or otherwise, shall instruct the Trustee. The Trustee shall deliver such Securities to the Depositary for delivery to the Persons in whose names such Securities are so registered.</w:t>
      </w:r>
    </w:p>
    <w:p>
      <w:pPr>
        <w:pStyle w:val="TextBody"/>
        <w:bidi w:val="0"/>
        <w:jc w:val="center"/>
        <w:rPr>
          <w:caps w:val="false"/>
          <w:smallCaps w:val="false"/>
        </w:rPr>
      </w:pPr>
      <w:r>
        <w:rPr>
          <w:caps w:val="false"/>
          <w:smallCaps w:val="false"/>
        </w:rPr>
        <w:t> </w:t>
      </w:r>
    </w:p>
    <w:p>
      <w:pPr>
        <w:pStyle w:val="TextBody"/>
        <w:bidi w:val="0"/>
        <w:spacing w:before="0" w:after="0"/>
        <w:jc w:val="center"/>
        <w:rPr>
          <w:bdr w:val="single" w:sz="12" w:space="1" w:color="000000"/>
        </w:rPr>
      </w:pPr>
      <w:r>
        <w:rPr>
          <w:bdr w:val="single" w:sz="12" w:space="1" w:color="000000"/>
        </w:rPr>
        <w:t>13</w:t>
      </w:r>
    </w:p>
    <w:p>
      <w:pPr>
        <w:pStyle w:val="TextBody"/>
        <w:bidi w:val="0"/>
        <w:spacing w:before="0" w:after="0"/>
        <w:ind w:left="0" w:right="0" w:hanging="0"/>
        <w:jc w:val="left"/>
        <w:rPr/>
      </w:pPr>
      <w:r>
        <w:rPr/>
        <w:t> </w:t>
      </w:r>
    </w:p>
    <w:p>
      <w:pPr>
        <w:pStyle w:val="TextBody"/>
        <w:bidi w:val="0"/>
        <w:jc w:val="center"/>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0"/>
        </w:rPr>
      </w:pPr>
      <w:bookmarkStart w:id="31" w:name="a_015"/>
      <w:bookmarkEnd w:id="31"/>
      <w:r>
        <w:rPr>
          <w:rFonts w:ascii="Times New Roman;Times;Serif" w:hAnsi="Times New Roman;Times;Serif"/>
          <w:b/>
          <w:i w:val="false"/>
          <w:caps w:val="false"/>
          <w:smallCaps w:val="false"/>
          <w:sz w:val="20"/>
        </w:rPr>
        <w:t>ARTICLE 3</w:t>
      </w:r>
    </w:p>
    <w:p>
      <w:pPr>
        <w:pStyle w:val="TextBody"/>
        <w:bidi w:val="0"/>
        <w:jc w:val="center"/>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REDEMPTION OF SECURITIES AND SINKING FUND PROVISIONS</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bookmarkStart w:id="32" w:name="a_016"/>
      <w:bookmarkEnd w:id="32"/>
      <w:r>
        <w:rPr>
          <w:rFonts w:ascii="Times New Roman;Times;Serif" w:hAnsi="Times New Roman;Times;Serif"/>
          <w:b/>
          <w:i w:val="false"/>
          <w:caps w:val="false"/>
          <w:smallCaps w:val="false"/>
          <w:sz w:val="20"/>
        </w:rPr>
        <w:t>Section 3.01 Redemption.</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may redeem the Securities of any series issued hereunder on and after the dates and in accordance with the terms established for such series pursuant to Section 2.01 hereof.</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bookmarkStart w:id="33" w:name="a_017"/>
      <w:bookmarkEnd w:id="33"/>
      <w:r>
        <w:rPr>
          <w:rFonts w:ascii="Times New Roman;Times;Serif" w:hAnsi="Times New Roman;Times;Serif"/>
          <w:b/>
          <w:i w:val="false"/>
          <w:caps w:val="false"/>
          <w:smallCaps w:val="false"/>
          <w:sz w:val="20"/>
        </w:rPr>
        <w:t>Section 3.02 Notice of Redemption.</w:t>
      </w:r>
    </w:p>
    <w:p>
      <w:pPr>
        <w:pStyle w:val="TextBody"/>
        <w:bidi w:val="0"/>
        <w:ind w:left="0" w:right="0" w:firstLine="720"/>
        <w:jc w:val="left"/>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(a) </w:t>
      </w:r>
      <w:r>
        <w:rPr>
          <w:rFonts w:ascii="Times New Roman;Times;Serif" w:hAnsi="Times New Roman;Times;Serif"/>
          <w:b w:val="false"/>
          <w:i w:val="false"/>
          <w:caps w:val="false"/>
          <w:smallCaps w:val="false"/>
          <w:sz w:val="20"/>
        </w:rPr>
        <w:t>In case the Company shall desire to exercise such right to redeem all or, as the case may be, a portion of the Securities of any series in accordance with any right the Company reserved for itself to do so pursuant to Section 2.01 hereof, the Company shall, or shall cause the Trustee to, give notice of such redemption to holders of the Securities of such series to be redeemed by mailing, first class postage prepaid, a notice of such redemption not less than 30 days and not more than 90 days before the date fixed for redemption of that series to such holders at their last addresses as they shall appear upon the Security Register, unless a shorter period is specified in the Securities to be redeemed. Any notice that is mailed in the manner herein provided shall be conclusively presumed to have been duly given, whether or not the registered holder receives the notice. In any case, failure duly to give such notice to the holder of any Security of any series designated for redemption in whole or in part, or any defect in the notice, shall not affect the validity of the proceedings for the redemption of any other Securities of such series or any other series. In the case of any redemption of Securities prior to the expiration of any restriction on such redemption provided in the terms of such Securities or elsewhere in this Indenture, the Company shall furnish the Trustee with an Officers’ Certificate evidencing compliance with any such restriction.</w:t>
      </w:r>
    </w:p>
    <w:p>
      <w:pPr>
        <w:pStyle w:val="TextBody"/>
        <w:bidi w:val="0"/>
        <w:jc w:val="both"/>
        <w:rPr>
          <w:caps w:val="false"/>
          <w:smallCaps w:val="false"/>
        </w:rPr>
      </w:pPr>
      <w:r>
        <w:rPr>
          <w:caps w:val="false"/>
          <w:smallCaps w:val="false"/>
        </w:rPr>
        <w:t> </w:t>
      </w:r>
    </w:p>
    <w:p>
      <w:pPr>
        <w:pStyle w:val="TextBody"/>
        <w:bidi w:val="0"/>
        <w:spacing w:before="0" w:after="0"/>
        <w:jc w:val="center"/>
        <w:rPr>
          <w:bdr w:val="single" w:sz="12" w:space="1" w:color="000000"/>
        </w:rPr>
      </w:pPr>
      <w:r>
        <w:rPr>
          <w:bdr w:val="single" w:sz="12" w:space="1" w:color="000000"/>
        </w:rPr>
        <w:t>14</w:t>
      </w:r>
    </w:p>
    <w:p>
      <w:pPr>
        <w:pStyle w:val="TextBody"/>
        <w:bidi w:val="0"/>
        <w:spacing w:before="0" w:after="0"/>
        <w:ind w:left="0" w:right="0" w:hanging="0"/>
        <w:jc w:val="left"/>
        <w:rPr/>
      </w:pPr>
      <w:r>
        <w:rPr/>
        <w:t> </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such notice of redemption shall specify the date fixed for redemption and the redemption price at which Securities of that series are to be redeemed, and shall state that payment of the redemption price of such Securities to be redeemed will be made at the office or agency of the Company in the Borough of Manhattan, the City and State of New York, upon presentation and surrender of such Securities, that interest accrued to the date fixed for redemption will be paid as specified in said notice, that from and after said date interest will cease to accrue and that the redemption is for a sinking fund, if such is the case. If less than all the Securities of a series are to be redeemed, the notice to the holders of Securities of that series to be redeemed in part shall specify the particular Securities to be so redeemed.</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case any Security is to be redeemed in part only, the notice that relates to such Security shall state the portion of the principal amount thereof to be redeemed, and shall state that on and after the redemption date, upon surrender of such Security, a new Security or Securities of such series in principal amount equal to the unredeemed portion thereof will be issued.</w:t>
      </w:r>
    </w:p>
    <w:p>
      <w:pPr>
        <w:pStyle w:val="TextBody"/>
        <w:bidi w:val="0"/>
        <w:ind w:left="0" w:right="0" w:firstLine="720"/>
        <w:jc w:val="left"/>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(b) </w:t>
      </w:r>
      <w:r>
        <w:rPr>
          <w:rFonts w:ascii="Times New Roman;Times;Serif" w:hAnsi="Times New Roman;Times;Serif"/>
          <w:b w:val="false"/>
          <w:i w:val="false"/>
          <w:caps w:val="false"/>
          <w:smallCaps w:val="false"/>
          <w:sz w:val="20"/>
        </w:rPr>
        <w:t>If less than all the Securities of a series are to be redeemed, the Company shall give the Trustee at least 45 days’ notice (unless a shorter notice shall be satisfactory to the Trustee) in advance of the date fixed for redemption as to the aggregate principal amount of Securities of the series to be redeemed, and thereupon the Trustee shall select, by lot or in such other manner as it shall deem appropriate and fair in its discretion and that may provide for the selection of a portion or portions (equal to one thousand U.S. dollars ($1,000) or any integral multiple thereof) of the principal amount of such Securities of a denomination larger than $1,000, the Securities to be redeemed and shall thereafter promptly notify the Company in writing of the numbers of the Securities to be redeemed, in whole or in part. The Company may, if and whenever it shall so elect, by delivery of instructions signed on its behalf by an Officer, instruct the Trustee or any paying agent to call all or any part of the Securities of a particular series for redemption and to give notice of redemption in the manner set forth in this Section, such notice to be in the name of the Company or its own name as the Trustee or such paying agent may deem advisable. In any case in which notice of redemption is to be given by the Trustee or any such paying agent, the Company shall deliver or cause to be delivered to, or permit to remain with, the Trustee or such paying agent, as the case may be, such Security Register, transfer books or other records, or suitable copies or extracts therefrom, sufficient to enable the Trustee or such paying agent to give any notice by mail that may be required under the provisions of this Section.</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bookmarkStart w:id="34" w:name="a_018"/>
      <w:bookmarkEnd w:id="34"/>
      <w:r>
        <w:rPr>
          <w:rFonts w:ascii="Times New Roman;Times;Serif" w:hAnsi="Times New Roman;Times;Serif"/>
          <w:b/>
          <w:i w:val="false"/>
          <w:caps w:val="false"/>
          <w:smallCaps w:val="false"/>
          <w:sz w:val="20"/>
        </w:rPr>
        <w:t>Section 3.03 Payment Upon Redemption.</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(a) </w:t>
      </w:r>
      <w:r>
        <w:rPr>
          <w:rFonts w:ascii="Times New Roman;Times;Serif" w:hAnsi="Times New Roman;Times;Serif"/>
          <w:b w:val="false"/>
          <w:i w:val="false"/>
          <w:caps w:val="false"/>
          <w:smallCaps w:val="false"/>
          <w:sz w:val="20"/>
        </w:rPr>
        <w:t>If the giving of notice of redemption shall have been completed as above provided, the Securities or portions of Securities of the series to be redeemed specified in such notice shall become due and payable on the date and at the place stated in such notice at the applicable redemption price, together with interest accrued to the date fixed for redemption and interest on such Securities or portions of Securities shall cease to accrue on and after the date fixed for redemption, unless the Company shall default in the payment of such redemption price and accrued interest with respect to any such Security or portion thereof. On presentation and surrender of such Securities on or after the date fixed for redemption at the place of payment specified in the notice, said Securities shall be paid and redeemed at the applicable redemption price for such series, together with interest accrued thereon to the date fixed for redemption (but if the date fixed for redemption is an interest payment date, the interest installment payable on such date shall be payable to the registered holder at the close of business on the applicable record date pursuant to Section 2.03).</w:t>
      </w:r>
    </w:p>
    <w:p>
      <w:pPr>
        <w:pStyle w:val="TextBody"/>
        <w:bidi w:val="0"/>
        <w:ind w:left="0" w:right="0" w:firstLine="720"/>
        <w:jc w:val="left"/>
        <w:rPr>
          <w:caps w:val="false"/>
          <w:smallCaps w:val="false"/>
        </w:rPr>
      </w:pPr>
      <w:r>
        <w:rPr>
          <w:caps w:val="false"/>
          <w:smallCaps w:val="false"/>
        </w:rPr>
        <w:t> </w:t>
      </w:r>
    </w:p>
    <w:p>
      <w:pPr>
        <w:pStyle w:val="TextBody"/>
        <w:bidi w:val="0"/>
        <w:spacing w:before="0" w:after="0"/>
        <w:ind w:left="0" w:right="0" w:firstLine="720"/>
        <w:jc w:val="center"/>
        <w:rPr>
          <w:bdr w:val="single" w:sz="12" w:space="1" w:color="000000"/>
        </w:rPr>
      </w:pPr>
      <w:r>
        <w:rPr>
          <w:bdr w:val="single" w:sz="12" w:space="1" w:color="000000"/>
        </w:rPr>
        <w:t>15</w:t>
      </w:r>
    </w:p>
    <w:p>
      <w:pPr>
        <w:pStyle w:val="TextBody"/>
        <w:bidi w:val="0"/>
        <w:spacing w:before="0" w:after="0"/>
        <w:ind w:left="0" w:right="0" w:hanging="0"/>
        <w:jc w:val="left"/>
        <w:rPr/>
      </w:pPr>
      <w:r>
        <w:rPr/>
        <w:t> </w:t>
      </w:r>
    </w:p>
    <w:p>
      <w:pPr>
        <w:pStyle w:val="TextBody"/>
        <w:bidi w:val="0"/>
        <w:ind w:left="0" w:right="0" w:firstLine="720"/>
        <w:jc w:val="left"/>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(b) </w:t>
      </w:r>
      <w:r>
        <w:rPr>
          <w:rFonts w:ascii="Times New Roman;Times;Serif" w:hAnsi="Times New Roman;Times;Serif"/>
          <w:b w:val="false"/>
          <w:i w:val="false"/>
          <w:caps w:val="false"/>
          <w:smallCaps w:val="false"/>
          <w:sz w:val="20"/>
        </w:rPr>
        <w:t>Upon presentation of any Security of such series that is to be redeemed in part only, the Company shall execute and the Trustee shall authenticate and the office or agency where the Security is presented shall deliver to the holder thereof, at the expense of the Company, a new Security of the same series of authorized denominations in principal amount equal to the unredeemed portion of the Security so presented.</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bookmarkStart w:id="35" w:name="a_019"/>
      <w:bookmarkEnd w:id="35"/>
      <w:r>
        <w:rPr>
          <w:rFonts w:ascii="Times New Roman;Times;Serif" w:hAnsi="Times New Roman;Times;Serif"/>
          <w:b/>
          <w:i w:val="false"/>
          <w:caps w:val="false"/>
          <w:smallCaps w:val="false"/>
          <w:sz w:val="20"/>
        </w:rPr>
        <w:t>Section 3.04 Sinking Fund.</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provisions of Sections 3.04, 3.05 and 3.06 shall be applicable to any sinking fund for the retirement of Securities of a series, except as otherwise specified as contemplated by Section 2.01 for Securities of such series.</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minimum amount of any sinking fund payment provided for by the terms of Securities of any series is herein referred to as a “mandatory sinking fund payment,” and any payment in excess of such minimum amount provided for by the terms of Securities of any series is herein referred to as an “optional sinking fund payment”. If provided for by the terms of Securities of any series, the cash amount of any sinking fund payment may be subject to reduction as provided in Section 3.05. Each sinking fund payment shall be applied to the redemption of Securities of any series as provided for by the terms of Securities of such series.</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bookmarkStart w:id="36" w:name="a_020"/>
      <w:bookmarkEnd w:id="36"/>
      <w:r>
        <w:rPr>
          <w:rFonts w:ascii="Times New Roman;Times;Serif" w:hAnsi="Times New Roman;Times;Serif"/>
          <w:b/>
          <w:i w:val="false"/>
          <w:caps w:val="false"/>
          <w:smallCaps w:val="false"/>
          <w:sz w:val="20"/>
        </w:rPr>
        <w:t>Section 3.05 Satisfaction of Sinking Fund Payments with Securities.</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(i) may deliver Outstanding Securities of a series and (ii) may apply as a credit Securities of a series that have been redeemed either at the election of the Company pursuant to the terms of such Securities or through the application of permitted optional sinking fund payments pursuant to the terms of such Securities, in each case in satisfaction of all or any part of any sinking fund payment with respect to the Securities of such series required to be made pursuant to the terms of such Securities as provided for by the terms of such series, provided that such Securities have not been previously so credited. Such Securities shall be received and credited for such purpose by the Trustee at the redemption price specified in such Securities for redemption through operation of the sinking fund and the amount of such sinking fund payment shall be reduced accordingly.</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bookmarkStart w:id="37" w:name="a_021"/>
      <w:bookmarkEnd w:id="37"/>
      <w:r>
        <w:rPr>
          <w:rFonts w:ascii="Times New Roman;Times;Serif" w:hAnsi="Times New Roman;Times;Serif"/>
          <w:b/>
          <w:i w:val="false"/>
          <w:caps w:val="false"/>
          <w:smallCaps w:val="false"/>
          <w:sz w:val="20"/>
        </w:rPr>
        <w:t>Section 3.06 Redemption of Securities for Sinking Fund.</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 less than 45 days prior to each sinking fund payment date for any series of Securities (unless a shorter period shall be satisfactory to the Trustee), the Company will deliver to the Trustee an Officers’ Certificate specifying the amount of the next ensuing sinking fund payment for that series pursuant to the terms of the series, the portion thereof, if any, that is to be satisfied by delivering and crediting Securities of that series pursuant to Section 3.05 and the basis for such credit and will, together with such Officers’ Certificate, deliver to the Trustee any Securities to be so delivered. Not less than 30 days before each such sinking fund payment date the Trustee shall select the Securities to be redeemed upon such sinking fund payment date in the manner specified in Section 3.02 and cause notice of the redemption thereof to be given in the name of and at the expense of the Company in the manner provided in Section 3.02. Such notice having been duly given, the redemption of such Securities shall be made upon the terms and in the manner stated in Section 3.03.</w:t>
      </w:r>
    </w:p>
    <w:p>
      <w:pPr>
        <w:pStyle w:val="TextBody"/>
        <w:bidi w:val="0"/>
        <w:jc w:val="center"/>
        <w:rPr>
          <w:caps w:val="false"/>
          <w:smallCaps w:val="false"/>
        </w:rPr>
      </w:pPr>
      <w:r>
        <w:rPr>
          <w:caps w:val="false"/>
          <w:smallCaps w:val="false"/>
        </w:rPr>
        <w:t> </w:t>
      </w:r>
    </w:p>
    <w:p>
      <w:pPr>
        <w:pStyle w:val="TextBody"/>
        <w:bidi w:val="0"/>
        <w:spacing w:before="0" w:after="0"/>
        <w:jc w:val="center"/>
        <w:rPr>
          <w:bdr w:val="single" w:sz="12" w:space="1" w:color="000000"/>
        </w:rPr>
      </w:pPr>
      <w:r>
        <w:rPr>
          <w:bdr w:val="single" w:sz="12" w:space="1" w:color="000000"/>
        </w:rPr>
        <w:t>16</w:t>
      </w:r>
    </w:p>
    <w:p>
      <w:pPr>
        <w:pStyle w:val="TextBody"/>
        <w:bidi w:val="0"/>
        <w:spacing w:before="0" w:after="0"/>
        <w:ind w:left="0" w:right="0" w:hanging="0"/>
        <w:jc w:val="left"/>
        <w:rPr/>
      </w:pPr>
      <w:r>
        <w:rPr/>
        <w:t> </w:t>
      </w:r>
    </w:p>
    <w:p>
      <w:pPr>
        <w:pStyle w:val="TextBody"/>
        <w:bidi w:val="0"/>
        <w:jc w:val="center"/>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0"/>
        </w:rPr>
      </w:pPr>
      <w:bookmarkStart w:id="38" w:name="a_022"/>
      <w:bookmarkEnd w:id="38"/>
      <w:r>
        <w:rPr>
          <w:rFonts w:ascii="Times New Roman;Times;Serif" w:hAnsi="Times New Roman;Times;Serif"/>
          <w:b/>
          <w:i w:val="false"/>
          <w:caps w:val="false"/>
          <w:smallCaps w:val="false"/>
          <w:sz w:val="20"/>
        </w:rPr>
        <w:t>ARTICLE 4</w:t>
      </w:r>
    </w:p>
    <w:p>
      <w:pPr>
        <w:pStyle w:val="TextBody"/>
        <w:bidi w:val="0"/>
        <w:jc w:val="center"/>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COVENANTS</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bookmarkStart w:id="39" w:name="a_023"/>
      <w:bookmarkEnd w:id="39"/>
      <w:r>
        <w:rPr>
          <w:rFonts w:ascii="Times New Roman;Times;Serif" w:hAnsi="Times New Roman;Times;Serif"/>
          <w:b/>
          <w:i w:val="false"/>
          <w:caps w:val="false"/>
          <w:smallCaps w:val="false"/>
          <w:sz w:val="20"/>
        </w:rPr>
        <w:t>Section 4.01 Payment of Principal, Premium and Interest.</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will duly and punctually pay or cause to be paid the principal of (and premium, if any) and interest on the Securities of that series at the time and place and in the manner provided herein and established with respect to such Securities.</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bookmarkStart w:id="40" w:name="a_024"/>
      <w:bookmarkEnd w:id="40"/>
      <w:r>
        <w:rPr>
          <w:rFonts w:ascii="Times New Roman;Times;Serif" w:hAnsi="Times New Roman;Times;Serif"/>
          <w:b/>
          <w:i w:val="false"/>
          <w:caps w:val="false"/>
          <w:smallCaps w:val="false"/>
          <w:sz w:val="20"/>
        </w:rPr>
        <w:t>Section 4.02 Maintenance of Office or Agency.</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So long as any series of the Securities remain Outstanding, the Company agrees to maintain an office or agency in the Borough of Manhattan, the City and State of New York, with respect to each such series and at such other location or locations as may be designated as provided in this Section 4.02, where (i) Securities of that series may be presented for payment, (ii) Securities of that series may be presented as herein above authorized for registration of transfer and exchange, and (iii) notices and demands to or upon the Company in respect of the Securities of that series and this Indenture may be given or served, such designation to continue with respect to such office or agency until the Company shall, by written notice signed by any officer authorized to sign an Officers’ Certificate and delivered to the Trustee, designate some other office or agency for such purposes or any of them. If at any time the Company shall fail to maintain any such required office or agency or shall fail to furnish the Trustee with the address thereof, such presentations, notices and demands may be made or served at the Corporate Trust Office of the Trustee, and the Company hereby appoints the Trustee as its agent to receive all such presentations, notices and demands. The Company initially appoints the Corporate Trust Office of the Trustee located in the Borough of Manhattan, the City of New York as its paying agent with respect to the Securities.</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bookmarkStart w:id="41" w:name="a_025"/>
      <w:bookmarkEnd w:id="41"/>
      <w:r>
        <w:rPr>
          <w:rFonts w:ascii="Times New Roman;Times;Serif" w:hAnsi="Times New Roman;Times;Serif"/>
          <w:b/>
          <w:i w:val="false"/>
          <w:caps w:val="false"/>
          <w:smallCaps w:val="false"/>
          <w:sz w:val="20"/>
        </w:rPr>
        <w:t>Section 4.03 Paying Agents.</w:t>
      </w:r>
    </w:p>
    <w:p>
      <w:pPr>
        <w:pStyle w:val="TextBody"/>
        <w:bidi w:val="0"/>
        <w:ind w:left="0" w:right="0" w:firstLine="720"/>
        <w:jc w:val="left"/>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(a) </w:t>
      </w:r>
      <w:r>
        <w:rPr>
          <w:rFonts w:ascii="Times New Roman;Times;Serif" w:hAnsi="Times New Roman;Times;Serif"/>
          <w:b w:val="false"/>
          <w:i w:val="false"/>
          <w:caps w:val="false"/>
          <w:smallCaps w:val="false"/>
          <w:sz w:val="20"/>
        </w:rPr>
        <w:t>If the Company shall appoint one or more paying agents for all or any series of the Securities, other than the Trustee, the Company will cause each such paying agent to execute and deliver to the Trustee an instrument in which such agent shall agree with the Trustee, subject to the provisions of this Section:</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(1) </w:t>
      </w:r>
      <w:r>
        <w:rPr>
          <w:rFonts w:ascii="Times New Roman;Times;Serif" w:hAnsi="Times New Roman;Times;Serif"/>
          <w:b w:val="false"/>
          <w:i w:val="false"/>
          <w:caps w:val="false"/>
          <w:smallCaps w:val="false"/>
          <w:sz w:val="20"/>
        </w:rPr>
        <w:t>that it will hold all sums held by it as such agent for the payment of the principal of (and premium, if any) or interest on the Securities of that series (whether such sums have been paid to it by the Company or by any other obligor of such Securities) in trust for the benefit of the Persons entitled thereto;</w:t>
      </w:r>
    </w:p>
    <w:p>
      <w:pPr>
        <w:pStyle w:val="TextBody"/>
        <w:bidi w:val="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bdr w:val="single" w:sz="12" w:space="1" w:color="000000"/>
        </w:rPr>
      </w:pPr>
      <w:r>
        <w:rPr>
          <w:bdr w:val="single" w:sz="12" w:space="1" w:color="000000"/>
        </w:rPr>
        <w:t>17</w:t>
      </w:r>
    </w:p>
    <w:p>
      <w:pPr>
        <w:pStyle w:val="TextBody"/>
        <w:bidi w:val="0"/>
        <w:spacing w:before="0" w:after="0"/>
        <w:ind w:left="0" w:right="0" w:hanging="0"/>
        <w:jc w:val="left"/>
        <w:rPr/>
      </w:pPr>
      <w:r>
        <w:rPr/>
        <w:t> </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(2) </w:t>
      </w:r>
      <w:r>
        <w:rPr>
          <w:rFonts w:ascii="Times New Roman;Times;Serif" w:hAnsi="Times New Roman;Times;Serif"/>
          <w:b w:val="false"/>
          <w:i w:val="false"/>
          <w:caps w:val="false"/>
          <w:smallCaps w:val="false"/>
          <w:sz w:val="20"/>
        </w:rPr>
        <w:t>that it will give the Trustee notice of any failure by the Company (or by any other obligor of such Securities) to make any payment of the principal of (and premium, if any) or interest on the Securities of that series when the same shall be due and payable;</w:t>
      </w:r>
    </w:p>
    <w:p>
      <w:pPr>
        <w:pStyle w:val="TextBody"/>
        <w:bidi w:val="0"/>
        <w:ind w:left="0" w:right="0" w:firstLine="1440"/>
        <w:jc w:val="both"/>
        <w:rPr>
          <w:caps w:val="false"/>
          <w:smallCaps w:val="false"/>
        </w:rPr>
      </w:pPr>
      <w:r>
        <w:rPr>
          <w:caps w:val="false"/>
          <w:smallCaps w:val="false"/>
        </w:rPr>
        <w:t> </w:t>
      </w:r>
    </w:p>
    <w:p>
      <w:pPr>
        <w:pStyle w:val="TextBody"/>
        <w:bidi w:val="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(3) </w:t>
      </w:r>
      <w:r>
        <w:rPr>
          <w:rFonts w:ascii="Times New Roman;Times;Serif" w:hAnsi="Times New Roman;Times;Serif"/>
          <w:b w:val="false"/>
          <w:i w:val="false"/>
          <w:caps w:val="false"/>
          <w:smallCaps w:val="false"/>
          <w:sz w:val="20"/>
        </w:rPr>
        <w:t>that it will, at any time during the continuance of any failure referred to in the preceding paragraph (a)(2) above, upon the written request of the Trustee, forthwith pay to the Trustee all sums so held in trust by such paying agent; and</w:t>
      </w:r>
    </w:p>
    <w:p>
      <w:pPr>
        <w:pStyle w:val="TextBody"/>
        <w:bidi w:val="0"/>
        <w:ind w:left="0" w:right="0" w:firstLine="1440"/>
        <w:jc w:val="both"/>
        <w:rPr>
          <w:caps w:val="false"/>
          <w:smallCaps w:val="false"/>
        </w:rPr>
      </w:pPr>
      <w:r>
        <w:rPr>
          <w:caps w:val="false"/>
          <w:smallCaps w:val="false"/>
        </w:rPr>
        <w:t> </w:t>
      </w:r>
    </w:p>
    <w:p>
      <w:pPr>
        <w:pStyle w:val="TextBody"/>
        <w:bidi w:val="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(4) </w:t>
      </w:r>
      <w:r>
        <w:rPr>
          <w:rFonts w:ascii="Times New Roman;Times;Serif" w:hAnsi="Times New Roman;Times;Serif"/>
          <w:b w:val="false"/>
          <w:i w:val="false"/>
          <w:caps w:val="false"/>
          <w:smallCaps w:val="false"/>
          <w:sz w:val="20"/>
        </w:rPr>
        <w:t>that it will perform all other duties of paying agent as set forth in this Indenture.</w:t>
      </w:r>
    </w:p>
    <w:p>
      <w:pPr>
        <w:pStyle w:val="TextBody"/>
        <w:bidi w:val="0"/>
        <w:ind w:left="0" w:right="0" w:firstLine="144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(b) </w:t>
      </w:r>
      <w:r>
        <w:rPr>
          <w:rFonts w:ascii="Times New Roman;Times;Serif" w:hAnsi="Times New Roman;Times;Serif"/>
          <w:b w:val="false"/>
          <w:i w:val="false"/>
          <w:caps w:val="false"/>
          <w:smallCaps w:val="false"/>
          <w:sz w:val="20"/>
        </w:rPr>
        <w:t>If the Company shall act as its own paying agent with respect to any series of the Securities, it will on or before each due date of the principal of (and premium, if any) or interest on Securities of that series, set aside, segregate and hold in trust for the benefit of the Persons entitled thereto a sum sufficient to pay such principal (and premium, if any) or interest so becoming due on Securities of that series until such sums shall be paid to such Persons or otherwise disposed of as herein provided and will promptly notify the Trustee of such action, or any failure (by it or any other obligor on such Securities) to take such action. Whenever the Company shall have one or more paying agents for any series of Securities, it will, prior to each due date of the principal of (and premium, if any) or interest on any Securities of that series, deposit with the paying agent a sum sufficient to pay the principal (and premium, if any) or interest so becoming due, such sum to be held in trust for the benefit of the Persons entitled to such principal, premium or interest, and (unless such paying agent is the Trustee) the Company will promptly notify the Trustee of this action or failure so to act.</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(c) </w:t>
      </w:r>
      <w:r>
        <w:rPr>
          <w:rFonts w:ascii="Times New Roman;Times;Serif" w:hAnsi="Times New Roman;Times;Serif"/>
          <w:b w:val="false"/>
          <w:i w:val="false"/>
          <w:caps w:val="false"/>
          <w:smallCaps w:val="false"/>
          <w:sz w:val="20"/>
        </w:rPr>
        <w:t>Notwithstanding anything in this Section to the contrary, (i) the agreement to hold sums in trust as provided in this Section is subject to the provisions of Section 11.05, and (ii) the Company may at any time, for the purpose of obtaining the satisfaction and discharge of this Indenture or for any other purpose, pay, or direct any paying agent to pay, to the Trustee all sums held in trust by the Company or such paying agent, such sums to be held by the Trustee upon the same terms and conditions as those upon which such sums were held by the Company or such paying agent; and, upon such payment by the Company or any paying agent to the Trustee, the Company or such paying agent shall be released from all further liability with respect to such money.</w:t>
      </w:r>
    </w:p>
    <w:p>
      <w:pPr>
        <w:pStyle w:val="TextBody"/>
        <w:bidi w:val="0"/>
        <w:jc w:val="both"/>
        <w:rPr>
          <w:caps w:val="false"/>
          <w:smallCaps w:val="false"/>
        </w:rPr>
      </w:pPr>
      <w:r>
        <w:rPr>
          <w:caps w:val="false"/>
          <w:smallCaps w:val="false"/>
        </w:rPr>
        <w:t> </w:t>
      </w:r>
    </w:p>
    <w:p>
      <w:pPr>
        <w:pStyle w:val="TextBody"/>
        <w:bidi w:val="0"/>
        <w:spacing w:before="0" w:after="0"/>
        <w:jc w:val="center"/>
        <w:rPr>
          <w:bdr w:val="single" w:sz="12" w:space="1" w:color="000000"/>
        </w:rPr>
      </w:pPr>
      <w:r>
        <w:rPr>
          <w:bdr w:val="single" w:sz="12" w:space="1" w:color="000000"/>
        </w:rPr>
        <w:t>18</w:t>
      </w:r>
    </w:p>
    <w:p>
      <w:pPr>
        <w:pStyle w:val="TextBody"/>
        <w:bidi w:val="0"/>
        <w:spacing w:before="0" w:after="0"/>
        <w:ind w:left="0" w:right="0" w:hanging="0"/>
        <w:jc w:val="left"/>
        <w:rPr/>
      </w:pPr>
      <w:r>
        <w:rPr/>
        <w:t> </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bookmarkStart w:id="42" w:name="a_026"/>
      <w:bookmarkEnd w:id="42"/>
      <w:r>
        <w:rPr>
          <w:rFonts w:ascii="Times New Roman;Times;Serif" w:hAnsi="Times New Roman;Times;Serif"/>
          <w:b/>
          <w:i w:val="false"/>
          <w:caps w:val="false"/>
          <w:smallCaps w:val="false"/>
          <w:sz w:val="20"/>
        </w:rPr>
        <w:t>Section 4.04 Appointment to Fill Vacancy in Office of Trustee.</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whenever necessary to avoid or fill a vacancy in the office of Trustee, will appoint, in the manner provided in Section 7.10, a Trustee, so that there shall at all times be a Trustee hereunder.</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bookmarkStart w:id="43" w:name="a_027"/>
      <w:bookmarkEnd w:id="43"/>
      <w:r>
        <w:rPr>
          <w:rFonts w:ascii="Times New Roman;Times;Serif" w:hAnsi="Times New Roman;Times;Serif"/>
          <w:b/>
          <w:i w:val="false"/>
          <w:caps w:val="false"/>
          <w:smallCaps w:val="false"/>
          <w:sz w:val="20"/>
        </w:rPr>
        <w:t>Section 4.05 Compliance with Consolidation Provisions.</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will not, while any of the Securities remain Outstanding, consolidate with or merge into any other Person, in either case where the Company is not the survivor of such transaction, or sell or convey all or substantially all of its property to any other Person unless the provisions of Article Ten hereof are complied with.</w:t>
      </w:r>
    </w:p>
    <w:p>
      <w:pPr>
        <w:pStyle w:val="TextBody"/>
        <w:bidi w:val="0"/>
        <w:jc w:val="center"/>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0"/>
        </w:rPr>
      </w:pPr>
      <w:bookmarkStart w:id="44" w:name="a_028"/>
      <w:bookmarkEnd w:id="44"/>
      <w:r>
        <w:rPr>
          <w:rFonts w:ascii="Times New Roman;Times;Serif" w:hAnsi="Times New Roman;Times;Serif"/>
          <w:b/>
          <w:i w:val="false"/>
          <w:caps w:val="false"/>
          <w:smallCaps w:val="false"/>
          <w:sz w:val="20"/>
        </w:rPr>
        <w:t>ARTICLE 5</w:t>
      </w:r>
    </w:p>
    <w:p>
      <w:pPr>
        <w:pStyle w:val="TextBody"/>
        <w:bidi w:val="0"/>
        <w:jc w:val="center"/>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SECURITYHOLDERS’ LISTS AND REPORTS BY THE COMPANY AND THE TRUSTEE</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bookmarkStart w:id="45" w:name="a_029"/>
      <w:bookmarkEnd w:id="45"/>
      <w:r>
        <w:rPr>
          <w:rFonts w:ascii="Times New Roman;Times;Serif" w:hAnsi="Times New Roman;Times;Serif"/>
          <w:b/>
          <w:i w:val="false"/>
          <w:caps w:val="false"/>
          <w:smallCaps w:val="false"/>
          <w:sz w:val="20"/>
        </w:rPr>
        <w:t>Section 5.01 Company to Furnish Trustee Names and Addresses of Securityholders.</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will furnish or cause to be furnished to the Trustee (a) within 15 days after each regular record date (as defined in Section 2.03) a list, in such form as the Trustee may reasonably require, of the names and addresses of the holders of each series of Securities as of such regular record date, provided that the Company shall not be obligated to furnish or cause to furnish such list at any time that the list shall not differ in any respect from the most recent list furnished to the Trustee by the Company and (b) at such other times as the Trustee may request in writing within 30 days after the receipt by the Company of any such request, a list of similar form and content as of a date not more than 15 days prior to the time such list is furnished; provided, however, that, in either case, no such list need be furnished for any series for which the Trustee shall be the Security Registrar.</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bookmarkStart w:id="46" w:name="a_030"/>
      <w:bookmarkEnd w:id="46"/>
      <w:r>
        <w:rPr>
          <w:rFonts w:ascii="Times New Roman;Times;Serif" w:hAnsi="Times New Roman;Times;Serif"/>
          <w:b/>
          <w:i w:val="false"/>
          <w:caps w:val="false"/>
          <w:smallCaps w:val="false"/>
          <w:sz w:val="20"/>
        </w:rPr>
        <w:t>Section 5.02 Preservation Of Information; Communications With Securityholders.</w:t>
      </w:r>
    </w:p>
    <w:p>
      <w:pPr>
        <w:pStyle w:val="TextBody"/>
        <w:bidi w:val="0"/>
        <w:ind w:left="0" w:right="0" w:firstLine="720"/>
        <w:jc w:val="left"/>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(a) </w:t>
      </w:r>
      <w:r>
        <w:rPr>
          <w:rFonts w:ascii="Times New Roman;Times;Serif" w:hAnsi="Times New Roman;Times;Serif"/>
          <w:b w:val="false"/>
          <w:i w:val="false"/>
          <w:caps w:val="false"/>
          <w:smallCaps w:val="false"/>
          <w:sz w:val="20"/>
        </w:rPr>
        <w:t>The Trustee shall preserve, in as current a form as is reasonably practicable, all information as to the names and addresses of the holders of Securities contained in the most recent list furnished to it as provided in Section 5.01 and as to the names and addresses of holders of Securities received by the Trustee in its capacity as Security Registrar (if acting in such capacity).</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(b) </w:t>
      </w:r>
      <w:r>
        <w:rPr>
          <w:rFonts w:ascii="Times New Roman;Times;Serif" w:hAnsi="Times New Roman;Times;Serif"/>
          <w:b w:val="false"/>
          <w:i w:val="false"/>
          <w:caps w:val="false"/>
          <w:smallCaps w:val="false"/>
          <w:sz w:val="20"/>
        </w:rPr>
        <w:t>The Trustee may destroy any list furnished to it as provided in Section 5.01 upon receipt of a new list so furnished.</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(c) </w:t>
      </w:r>
      <w:r>
        <w:rPr>
          <w:rFonts w:ascii="Times New Roman;Times;Serif" w:hAnsi="Times New Roman;Times;Serif"/>
          <w:b w:val="false"/>
          <w:i w:val="false"/>
          <w:caps w:val="false"/>
          <w:smallCaps w:val="false"/>
          <w:sz w:val="20"/>
        </w:rPr>
        <w:t>Securityholders may communicate as provided in Section 312(b) of the Trust Indenture Act with other Securityholders with respect to their rights under this Indenture or under the Securities, and, in connection with any such communications, the Trustee shall satisfy its obligations under Section 312(b) of the Trust Indenture Act in accordance with the provisions of Section 312(b) of the Trust Indenture Act.</w:t>
      </w:r>
    </w:p>
    <w:p>
      <w:pPr>
        <w:pStyle w:val="TextBody"/>
        <w:bidi w:val="0"/>
        <w:jc w:val="both"/>
        <w:rPr>
          <w:caps w:val="false"/>
          <w:smallCaps w:val="false"/>
        </w:rPr>
      </w:pPr>
      <w:r>
        <w:rPr>
          <w:caps w:val="false"/>
          <w:smallCaps w:val="false"/>
        </w:rPr>
        <w:t> </w:t>
      </w:r>
    </w:p>
    <w:p>
      <w:pPr>
        <w:pStyle w:val="TextBody"/>
        <w:bidi w:val="0"/>
        <w:spacing w:before="0" w:after="0"/>
        <w:jc w:val="center"/>
        <w:rPr>
          <w:bdr w:val="single" w:sz="12" w:space="1" w:color="000000"/>
        </w:rPr>
      </w:pPr>
      <w:r>
        <w:rPr>
          <w:bdr w:val="single" w:sz="12" w:space="1" w:color="000000"/>
        </w:rPr>
        <w:t>19</w:t>
      </w:r>
    </w:p>
    <w:p>
      <w:pPr>
        <w:pStyle w:val="TextBody"/>
        <w:bidi w:val="0"/>
        <w:spacing w:before="0" w:after="0"/>
        <w:ind w:left="0" w:right="0" w:hanging="0"/>
        <w:jc w:val="left"/>
        <w:rPr/>
      </w:pPr>
      <w:r>
        <w:rPr/>
        <w:t> </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bookmarkStart w:id="47" w:name="a_031"/>
      <w:bookmarkEnd w:id="47"/>
      <w:r>
        <w:rPr>
          <w:rFonts w:ascii="Times New Roman;Times;Serif" w:hAnsi="Times New Roman;Times;Serif"/>
          <w:b/>
          <w:i w:val="false"/>
          <w:caps w:val="false"/>
          <w:smallCaps w:val="false"/>
          <w:sz w:val="20"/>
        </w:rPr>
        <w:t>Section 5.03 Reports by the Company.</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covenants and agrees to provide a copy to the Trustee, after the Company files the same with the Securities and Exchange Commission, copies of the annual reports and of the information, documents and other reports (or copies of such portions of any of the foregoing as the Securities and Exchange Commission may from time to time by rules and regulations prescribe) that the Company files with the Securities and Exchange Commission pursuant to Section 13 or Section 15(d) of the Exchange Act; provided, however, the Company shall not be required to deliver to the Trustee any materials for which the Company has sought and received confidential treatment by the SEC. The Company shall also comply with the requirements of Section 314 of the Trust Indenture Act, but only to the extent then applicable to the Company.</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bookmarkStart w:id="48" w:name="a_032"/>
      <w:bookmarkEnd w:id="48"/>
      <w:r>
        <w:rPr>
          <w:rFonts w:ascii="Times New Roman;Times;Serif" w:hAnsi="Times New Roman;Times;Serif"/>
          <w:b/>
          <w:i w:val="false"/>
          <w:caps w:val="false"/>
          <w:smallCaps w:val="false"/>
          <w:sz w:val="20"/>
        </w:rPr>
        <w:t>Section 5.04 Reports by the Trustee.</w:t>
      </w:r>
    </w:p>
    <w:p>
      <w:pPr>
        <w:pStyle w:val="TextBody"/>
        <w:bidi w:val="0"/>
        <w:ind w:left="0" w:right="0" w:firstLine="720"/>
        <w:jc w:val="left"/>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(a) </w:t>
      </w:r>
      <w:r>
        <w:rPr>
          <w:rFonts w:ascii="Times New Roman;Times;Serif" w:hAnsi="Times New Roman;Times;Serif"/>
          <w:b w:val="false"/>
          <w:i w:val="false"/>
          <w:caps w:val="false"/>
          <w:smallCaps w:val="false"/>
          <w:sz w:val="20"/>
        </w:rPr>
        <w:t>On or before July 1 in each year in which any of the Securities are Outstanding, the Trustee shall transmit by mail, first class postage prepaid, to the Securityholders, as their names and addresses appear upon the Security Register, a brief report dated as of the preceding May 1, if and to the extent required under Section 313(a) of the Trust Indenture Act.</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(b) </w:t>
      </w:r>
      <w:r>
        <w:rPr>
          <w:rFonts w:ascii="Times New Roman;Times;Serif" w:hAnsi="Times New Roman;Times;Serif"/>
          <w:b w:val="false"/>
          <w:i w:val="false"/>
          <w:caps w:val="false"/>
          <w:smallCaps w:val="false"/>
          <w:sz w:val="20"/>
        </w:rPr>
        <w:t>The Trustee shall comply with Section 313(b) and 313(c) of the Trust Indenture Act.</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(c) </w:t>
      </w:r>
      <w:r>
        <w:rPr>
          <w:rFonts w:ascii="Times New Roman;Times;Serif" w:hAnsi="Times New Roman;Times;Serif"/>
          <w:b w:val="false"/>
          <w:i w:val="false"/>
          <w:caps w:val="false"/>
          <w:smallCaps w:val="false"/>
          <w:sz w:val="20"/>
        </w:rPr>
        <w:t>A copy of each such report shall, at the time of such transmission to Securityholders, be filed by the Trustee with the Company, with each securities exchange upon which any Securities are listed (if so listed) and also with the Securities and Exchange Commission. The Company agrees to notify the Trustee when any Securities become listed on any securities exchange.</w:t>
      </w:r>
    </w:p>
    <w:p>
      <w:pPr>
        <w:pStyle w:val="TextBody"/>
        <w:bidi w:val="0"/>
        <w:jc w:val="center"/>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0"/>
        </w:rPr>
      </w:pPr>
      <w:bookmarkStart w:id="49" w:name="a_033"/>
      <w:bookmarkEnd w:id="49"/>
      <w:r>
        <w:rPr>
          <w:rFonts w:ascii="Times New Roman;Times;Serif" w:hAnsi="Times New Roman;Times;Serif"/>
          <w:b/>
          <w:i w:val="false"/>
          <w:caps w:val="false"/>
          <w:smallCaps w:val="false"/>
          <w:sz w:val="20"/>
        </w:rPr>
        <w:t>ARTICLE 6</w:t>
      </w:r>
    </w:p>
    <w:p>
      <w:pPr>
        <w:pStyle w:val="TextBody"/>
        <w:bidi w:val="0"/>
        <w:jc w:val="center"/>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REMEDIES OF THE TRUSTEE AND SECURITYHOLDERS ON EVENT OF DEFAULT</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bookmarkStart w:id="50" w:name="a_034"/>
      <w:bookmarkEnd w:id="50"/>
      <w:r>
        <w:rPr>
          <w:rFonts w:ascii="Times New Roman;Times;Serif" w:hAnsi="Times New Roman;Times;Serif"/>
          <w:b/>
          <w:i w:val="false"/>
          <w:caps w:val="false"/>
          <w:smallCaps w:val="false"/>
          <w:sz w:val="20"/>
        </w:rPr>
        <w:t>Section 6.01 Events of Default.</w:t>
      </w:r>
    </w:p>
    <w:p>
      <w:pPr>
        <w:pStyle w:val="TextBody"/>
        <w:bidi w:val="0"/>
        <w:ind w:left="0" w:right="0" w:firstLine="720"/>
        <w:jc w:val="left"/>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(a) </w:t>
      </w:r>
      <w:r>
        <w:rPr>
          <w:rFonts w:ascii="Times New Roman;Times;Serif" w:hAnsi="Times New Roman;Times;Serif"/>
          <w:b w:val="false"/>
          <w:i w:val="false"/>
          <w:caps w:val="false"/>
          <w:smallCaps w:val="false"/>
          <w:sz w:val="20"/>
        </w:rPr>
        <w:t>Whenever used herein with respect to Securities of a particular series, “Event of Default” means any one or more of the following events that has occurred and is continuing:</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(1) </w:t>
      </w:r>
      <w:r>
        <w:rPr>
          <w:rFonts w:ascii="Times New Roman;Times;Serif" w:hAnsi="Times New Roman;Times;Serif"/>
          <w:b w:val="false"/>
          <w:i w:val="false"/>
          <w:caps w:val="false"/>
          <w:smallCaps w:val="false"/>
          <w:sz w:val="20"/>
        </w:rPr>
        <w:t>the Company defaults in the payment of any installment of interest upon any of the Securities of that series, as and when the same shall become due and payable, and such default continues for a period of 90 days; provided, however, that a valid extension of an interest payment period by the Company in accordance with the terms of any indenture supplemental hereto shall not constitute a default in the payment of interest for this purpose;</w:t>
      </w:r>
    </w:p>
    <w:p>
      <w:pPr>
        <w:pStyle w:val="TextBody"/>
        <w:bidi w:val="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bdr w:val="single" w:sz="12" w:space="1" w:color="000000"/>
        </w:rPr>
      </w:pPr>
      <w:r>
        <w:rPr>
          <w:bdr w:val="single" w:sz="12" w:space="1" w:color="000000"/>
        </w:rPr>
        <w:t>20</w:t>
      </w:r>
    </w:p>
    <w:p>
      <w:pPr>
        <w:pStyle w:val="TextBody"/>
        <w:bidi w:val="0"/>
        <w:spacing w:before="0" w:after="0"/>
        <w:ind w:left="0" w:right="0" w:hanging="0"/>
        <w:jc w:val="left"/>
        <w:rPr/>
      </w:pPr>
      <w:r>
        <w:rPr/>
        <w:t> </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(2) </w:t>
      </w:r>
      <w:r>
        <w:rPr>
          <w:rFonts w:ascii="Times New Roman;Times;Serif" w:hAnsi="Times New Roman;Times;Serif"/>
          <w:b w:val="false"/>
          <w:i w:val="false"/>
          <w:caps w:val="false"/>
          <w:smallCaps w:val="false"/>
          <w:sz w:val="20"/>
        </w:rPr>
        <w:t>the Company defaults in the payment of the principal of (or premium, if any, on) any of the Securities of that series as and when the same shall become due and payable whether at maturity, upon redemption, by declaration or otherwise, or in any payment required by any sinking or analogous fund established with respect to that series and such default continues for a period of 90 days; provided, however, that a valid extension of the maturity of such Securities in accordance with the terms of any indenture supplemental hereto shall not constitute a default in the payment of principal or premium, if any;</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(3) </w:t>
      </w:r>
      <w:r>
        <w:rPr>
          <w:rFonts w:ascii="Times New Roman;Times;Serif" w:hAnsi="Times New Roman;Times;Serif"/>
          <w:b w:val="false"/>
          <w:i w:val="false"/>
          <w:caps w:val="false"/>
          <w:smallCaps w:val="false"/>
          <w:sz w:val="20"/>
        </w:rPr>
        <w:t>the Company fails to observe or perform any other of its covenants or agreements with respect to that series contained in this Indenture or otherwise established with respect to that series of Securities pursuant to Section 2.01 hereof (other than a covenant or agreement that has been expressly included in this Indenture solely for the benefit of one or more series of Securities other than such series) for a period of 90 days after the date on which written notice of such failure, requiring the same to be remedied and stating that such notice is a “Notice of Default” hereunder, shall have been given to the Company by the Trustee, by registered or certified mail, or to the Company and the Trustee by the holders of at least 25% in principal amount of the Securities of that series at the time Outstanding;</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(4) </w:t>
      </w:r>
      <w:r>
        <w:rPr>
          <w:rFonts w:ascii="Times New Roman;Times;Serif" w:hAnsi="Times New Roman;Times;Serif"/>
          <w:b w:val="false"/>
          <w:i w:val="false"/>
          <w:caps w:val="false"/>
          <w:smallCaps w:val="false"/>
          <w:sz w:val="20"/>
        </w:rPr>
        <w:t>the Company pursuant to or within the meaning of any Bankruptcy Law (i) commences a voluntary case, (ii) consents to the entry of an order for relief against it in an involuntary case, (iii) consents to the appointment of a Custodian of it or for all or substantially all of its property or (iv) makes a general assignment for the benefit of its creditors; or</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(5) </w:t>
      </w:r>
      <w:r>
        <w:rPr>
          <w:rFonts w:ascii="Times New Roman;Times;Serif" w:hAnsi="Times New Roman;Times;Serif"/>
          <w:b w:val="false"/>
          <w:i w:val="false"/>
          <w:caps w:val="false"/>
          <w:smallCaps w:val="false"/>
          <w:sz w:val="20"/>
        </w:rPr>
        <w:t>a court of competent jurisdiction enters an order under any Bankruptcy Law that (i) is for relief against the Company in an involuntary case, (ii) appoints a Custodian of the Company for all or substantially all of its property or (iii) orders the liquidation of the Company, and the order or decree remains unstayed and in effect for 90 days.</w:t>
      </w:r>
    </w:p>
    <w:p>
      <w:pPr>
        <w:pStyle w:val="TextBody"/>
        <w:bidi w:val="0"/>
        <w:ind w:left="0" w:right="0" w:firstLine="720"/>
        <w:jc w:val="left"/>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(b) </w:t>
      </w:r>
      <w:r>
        <w:rPr>
          <w:rFonts w:ascii="Times New Roman;Times;Serif" w:hAnsi="Times New Roman;Times;Serif"/>
          <w:b w:val="false"/>
          <w:i w:val="false"/>
          <w:caps w:val="false"/>
          <w:smallCaps w:val="false"/>
          <w:sz w:val="20"/>
        </w:rPr>
        <w:t>In each and every such case (other than an Event of Default specified in clause (4) or clause (5) above), unless the principal of all the Securities of that series shall have already become due and payable, either the Trustee or the holders of not less than 25% in aggregate principal amount of the Securities of that series then Outstanding hereunder, by notice in writing to the Company (and to the Trustee if given by such Securityholders), may declare the principal of (and premium, if any, on) and accrued and unpaid interest on all the Securities of that series to be due and payable immediately, and upon any such declaration the same shall become and shall be immediately due and payable. If an Event of Default specified in clause (4) or clause (5) above occurs, the principal of and accrued and unpaid interest on all the Securities of that series shall automatically be immediately due and payable without any declaration or other act on the part of the Trustee or the holders of the Securities.</w:t>
      </w:r>
    </w:p>
    <w:p>
      <w:pPr>
        <w:pStyle w:val="TextBody"/>
        <w:bidi w:val="0"/>
        <w:ind w:left="0" w:right="0" w:firstLine="720"/>
        <w:jc w:val="left"/>
        <w:rPr>
          <w:caps w:val="false"/>
          <w:smallCaps w:val="false"/>
        </w:rPr>
      </w:pPr>
      <w:r>
        <w:rPr>
          <w:caps w:val="false"/>
          <w:smallCaps w:val="false"/>
        </w:rPr>
        <w:t> </w:t>
      </w:r>
    </w:p>
    <w:p>
      <w:pPr>
        <w:pStyle w:val="TextBody"/>
        <w:bidi w:val="0"/>
        <w:spacing w:before="0" w:after="0"/>
        <w:ind w:left="0" w:right="0" w:firstLine="720"/>
        <w:jc w:val="center"/>
        <w:rPr>
          <w:bdr w:val="single" w:sz="12" w:space="1" w:color="000000"/>
        </w:rPr>
      </w:pPr>
      <w:r>
        <w:rPr>
          <w:bdr w:val="single" w:sz="12" w:space="1" w:color="000000"/>
        </w:rPr>
        <w:t>21</w:t>
      </w:r>
    </w:p>
    <w:p>
      <w:pPr>
        <w:pStyle w:val="TextBody"/>
        <w:bidi w:val="0"/>
        <w:spacing w:before="0" w:after="0"/>
        <w:ind w:left="0" w:right="0" w:hanging="0"/>
        <w:jc w:val="left"/>
        <w:rPr/>
      </w:pPr>
      <w:r>
        <w:rPr/>
        <w:t> </w:t>
      </w:r>
    </w:p>
    <w:p>
      <w:pPr>
        <w:pStyle w:val="TextBody"/>
        <w:bidi w:val="0"/>
        <w:ind w:left="0" w:right="0" w:firstLine="720"/>
        <w:jc w:val="left"/>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(c) </w:t>
      </w:r>
      <w:r>
        <w:rPr>
          <w:rFonts w:ascii="Times New Roman;Times;Serif" w:hAnsi="Times New Roman;Times;Serif"/>
          <w:b w:val="false"/>
          <w:i w:val="false"/>
          <w:caps w:val="false"/>
          <w:smallCaps w:val="false"/>
          <w:sz w:val="20"/>
        </w:rPr>
        <w:t>At any time after the principal of (and premium, if any, on) and accrued and unpaid interest on the Securities of that series shall have been so declared due and payable, and before any judgment or decree for the payment of the moneys due shall have been obtained or entered as hereinafter provided, the holders of a majority in aggregate principal amount of the Securities of that series then Outstanding hereunder, by written notice to the Company and the Trustee, may rescind and annul such declaration and its consequences if: (i) the Company has paid or deposited with the Trustee a sum sufficient to pay all matured installments of interest upon all the Securities of that series and the principal of (and premium, if any, on) any and all Securities of that series that shall have become due otherwise than by acceleration (with interest upon such principal and premium, if any, and, to the extent that such payment is enforceable under applicable law, upon overdue installments of interest, at the rate per annum expressed in the Securities of that series to the date of such payment or deposit) and the amount payable to the Trustee under Section 7.06, and (ii) any and all Events of Default under the Indenture with respect to such series, other than the nonpayment of principal on (and premium, if any, on) and accrued and unpaid interest on Securities of that series that shall not have become due by their terms, shall have been remedied or waived as provided in Section 6.06.</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such rescission and annulment shall extend to or shall affect any subsequent default or impair any right consequent thereon.</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(d) </w:t>
      </w:r>
      <w:r>
        <w:rPr>
          <w:rFonts w:ascii="Times New Roman;Times;Serif" w:hAnsi="Times New Roman;Times;Serif"/>
          <w:b w:val="false"/>
          <w:i w:val="false"/>
          <w:caps w:val="false"/>
          <w:smallCaps w:val="false"/>
          <w:sz w:val="20"/>
        </w:rPr>
        <w:t>In case the Trustee shall have proceeded to enforce any right with respect to Securities of that series under this Indenture and such proceedings shall have been discontinued or abandoned because of such rescission or annulment or for any other reason or shall have been determined adversely to the Trustee, then and in every such case, subject to any determination in such proceedings, the Company and the Trustee shall be restored respectively to their former positions and rights hereunder, and all rights, remedies and powers of the Company and the Trustee shall continue as though no such proceedings had been taken.</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bookmarkStart w:id="51" w:name="a_035"/>
      <w:bookmarkEnd w:id="51"/>
      <w:r>
        <w:rPr>
          <w:rFonts w:ascii="Times New Roman;Times;Serif" w:hAnsi="Times New Roman;Times;Serif"/>
          <w:b/>
          <w:i w:val="false"/>
          <w:caps w:val="false"/>
          <w:smallCaps w:val="false"/>
          <w:sz w:val="20"/>
        </w:rPr>
        <w:t>Section 6.02 Collection of Indebtedness and Suits for Enforcement by Trustee.</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(a) </w:t>
      </w:r>
      <w:r>
        <w:rPr>
          <w:rFonts w:ascii="Times New Roman;Times;Serif" w:hAnsi="Times New Roman;Times;Serif"/>
          <w:b w:val="false"/>
          <w:i w:val="false"/>
          <w:caps w:val="false"/>
          <w:smallCaps w:val="false"/>
          <w:sz w:val="20"/>
        </w:rPr>
        <w:t>The Company covenants that (i) in case it shall default in the payment of any installment of interest on any of the Securities of a series, or in any payment required by any sinking or analogous fund established with respect to that series as and when the same shall have become due and payable, and such default shall have continued for a period of 90 Business Days, or (ii) in case it shall default in the payment of the principal of (or premium, if any, on) any of the Securities of a series when the same shall have become due and payable, whether upon maturity of the Securities of a series or upon redemption or upon declaration or otherwise then, upon demand of the Trustee, the Company will pay to the Trustee, for the benefit of the holders of the Securities of that series, the whole amount that then shall have been become due and payable on all such Securities for principal (and premium, if any) or interest, or both, as the case may be, with interest upon the overdue principal (and premium, if any) and (to the extent that payment of such interest is enforceable under applicable law) upon overdue installments of interest at the rate per annum expressed in the Securities of that series; and, in addition thereto, such further amount as shall be sufficient to cover the costs and expenses of collection, and the amount payable to the Trustee under Section 7.06.</w:t>
      </w:r>
    </w:p>
    <w:p>
      <w:pPr>
        <w:pStyle w:val="TextBody"/>
        <w:bidi w:val="0"/>
        <w:ind w:left="0" w:right="0" w:firstLine="720"/>
        <w:jc w:val="left"/>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(b) </w:t>
      </w:r>
      <w:r>
        <w:rPr>
          <w:rFonts w:ascii="Times New Roman;Times;Serif" w:hAnsi="Times New Roman;Times;Serif"/>
          <w:b w:val="false"/>
          <w:i w:val="false"/>
          <w:caps w:val="false"/>
          <w:smallCaps w:val="false"/>
          <w:sz w:val="20"/>
        </w:rPr>
        <w:t>If the Company shall fail to pay such amounts forthwith upon such demand, the Trustee, in its own name and as trustee of an express trust, shall be entitled and empowered to institute any action or proceedings at law or in equity for the collection of the sums so due and unpaid, and may prosecute any such action or proceeding to judgment or final decree, and may enforce any such judgment or final decree against the Company or other obligor upon the Securities of that series and collect the moneys adjudged or decreed to be payable in the manner provided by law or equity out of the property of the Company or other obligor upon the Securities of that series, wherever situated.</w:t>
      </w:r>
    </w:p>
    <w:p>
      <w:pPr>
        <w:pStyle w:val="TextBody"/>
        <w:bidi w:val="0"/>
        <w:ind w:left="0" w:right="0" w:firstLine="720"/>
        <w:jc w:val="left"/>
        <w:rPr>
          <w:caps w:val="false"/>
          <w:smallCaps w:val="false"/>
        </w:rPr>
      </w:pPr>
      <w:r>
        <w:rPr>
          <w:caps w:val="false"/>
          <w:smallCaps w:val="false"/>
        </w:rPr>
        <w:t> </w:t>
      </w:r>
    </w:p>
    <w:p>
      <w:pPr>
        <w:pStyle w:val="TextBody"/>
        <w:bidi w:val="0"/>
        <w:spacing w:before="0" w:after="0"/>
        <w:ind w:left="0" w:right="0" w:firstLine="720"/>
        <w:jc w:val="center"/>
        <w:rPr>
          <w:bdr w:val="single" w:sz="12" w:space="1" w:color="000000"/>
        </w:rPr>
      </w:pPr>
      <w:r>
        <w:rPr>
          <w:bdr w:val="single" w:sz="12" w:space="1" w:color="000000"/>
        </w:rPr>
        <w:t>22</w:t>
      </w:r>
    </w:p>
    <w:p>
      <w:pPr>
        <w:pStyle w:val="TextBody"/>
        <w:bidi w:val="0"/>
        <w:spacing w:before="0" w:after="0"/>
        <w:ind w:left="0" w:right="0" w:hanging="0"/>
        <w:jc w:val="left"/>
        <w:rPr/>
      </w:pPr>
      <w:r>
        <w:rPr/>
        <w:t> </w:t>
      </w:r>
    </w:p>
    <w:p>
      <w:pPr>
        <w:pStyle w:val="TextBody"/>
        <w:bidi w:val="0"/>
        <w:ind w:left="0" w:right="0" w:firstLine="720"/>
        <w:jc w:val="left"/>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(c) </w:t>
      </w:r>
      <w:r>
        <w:rPr>
          <w:rFonts w:ascii="Times New Roman;Times;Serif" w:hAnsi="Times New Roman;Times;Serif"/>
          <w:b w:val="false"/>
          <w:i w:val="false"/>
          <w:caps w:val="false"/>
          <w:smallCaps w:val="false"/>
          <w:sz w:val="20"/>
        </w:rPr>
        <w:t>In case of any receivership, insolvency, liquidation, bankruptcy, reorganization, readjustment, arrangement, composition or judicial proceedings affecting the Company, or its creditors or property, the Trustee shall have power to intervene in such proceedings and take any action therein that may be permitted by the court and shall (except as may be otherwise provided by law) be entitled to file such proofs of claim and other papers and documents as may be necessary or advisable in order to have the claims of the Trustee and of the holders of Securities of such series allowed for the entire amount due and payable by the Company under the Indenture at the date of institution of such proceedings and for any additional amount that may become due and payable by the Company after such date, and to collect and receive any moneys or other property payable or deliverable on any such claim, and to distribute the same after the deduction of the amount payable to the Trustee under Section 7.06; and any receiver, assignee or trustee in bankruptcy or reorganization is hereby authorized by each of the holders of Securities of such series to make such payments to the Trustee, and, in the event that the Trustee shall consent to the making of such payments directly to such Securityholders, to pay to the Trustee any amount due it under Section 7.06.</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(d) </w:t>
      </w:r>
      <w:r>
        <w:rPr>
          <w:rFonts w:ascii="Times New Roman;Times;Serif" w:hAnsi="Times New Roman;Times;Serif"/>
          <w:b w:val="false"/>
          <w:i w:val="false"/>
          <w:caps w:val="false"/>
          <w:smallCaps w:val="false"/>
          <w:sz w:val="20"/>
        </w:rPr>
        <w:t>All rights of action and of asserting claims under this Indenture, or under any of the terms established with respect to Securities of that series, may be enforced by the Trustee without the possession of any of such Securities, or the production thereof at any trial or other proceeding relative thereto, and any such suit or proceeding instituted by the Trustee shall be brought in its own name as trustee of an express trust, and any recovery of judgment shall, after provision for payment to the Trustee of any amounts due under Section 7.06, be for the ratable benefit of the holders of the Securities of such series.</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case of an Event of Default hereunder, the Trustee may in its discretion proceed to protect and enforce the rights vested in it by this Indenture by such appropriate judicial proceedings as the Trustee shall deem most effectual to protect and enforce any of such rights, either at law or in equity or in bankruptcy or otherwise, whether for the specific enforcement of any covenant or agreement contained in the Indenture or in aid of the exercise of any power granted in this Indenture, or to enforce any other legal or equitable right vested in the Trustee by this Indenture or by law.</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Nothing contained herein shall be deemed to authorize the Trustee to authorize or consent to or accept or adopt on behalf of any Securityholder any plan of reorganization, arrangement, adjustment or composition affecting the Securities of that series or the rights of any holder thereof or to authorize the Trustee to vote in respect of the claim of any Securityholder in any such proceeding.</w:t>
      </w:r>
    </w:p>
    <w:p>
      <w:pPr>
        <w:pStyle w:val="TextBody"/>
        <w:bidi w:val="0"/>
        <w:jc w:val="both"/>
        <w:rPr>
          <w:caps w:val="false"/>
          <w:smallCaps w:val="false"/>
        </w:rPr>
      </w:pPr>
      <w:r>
        <w:rPr>
          <w:caps w:val="false"/>
          <w:smallCaps w:val="false"/>
        </w:rPr>
        <w:t> </w:t>
      </w:r>
    </w:p>
    <w:p>
      <w:pPr>
        <w:pStyle w:val="TextBody"/>
        <w:bidi w:val="0"/>
        <w:spacing w:before="0" w:after="0"/>
        <w:jc w:val="center"/>
        <w:rPr>
          <w:bdr w:val="single" w:sz="12" w:space="1" w:color="000000"/>
        </w:rPr>
      </w:pPr>
      <w:r>
        <w:rPr>
          <w:bdr w:val="single" w:sz="12" w:space="1" w:color="000000"/>
        </w:rPr>
        <w:t>23</w:t>
      </w:r>
    </w:p>
    <w:p>
      <w:pPr>
        <w:pStyle w:val="TextBody"/>
        <w:bidi w:val="0"/>
        <w:spacing w:before="0" w:after="0"/>
        <w:ind w:left="0" w:right="0" w:hanging="0"/>
        <w:jc w:val="left"/>
        <w:rPr/>
      </w:pPr>
      <w:r>
        <w:rPr/>
        <w:t> </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bookmarkStart w:id="52" w:name="a_036"/>
      <w:bookmarkEnd w:id="52"/>
      <w:r>
        <w:rPr>
          <w:rFonts w:ascii="Times New Roman;Times;Serif" w:hAnsi="Times New Roman;Times;Serif"/>
          <w:b/>
          <w:i w:val="false"/>
          <w:caps w:val="false"/>
          <w:smallCaps w:val="false"/>
          <w:sz w:val="20"/>
        </w:rPr>
        <w:t>Section 6.03 Application of Moneys or Property Collected.</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moneys or property collected by the Trustee pursuant to this Article with respect to a particular series of Securities shall be applied in the following order, at the date or dates fixed by the Trustee and, in case of the distribution of such moneys or property on account of principal (or premium, if any) or interest, upon presentation of the Securities of that series, and notation thereon of the payment, if only partially paid, and upon surrender thereof if fully paid:</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FIRST: To the payment of reasonable costs and expenses of collection and of all amounts payable to the Trustee under Section 7.06;</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SECOND: To the payment of the amounts then due and unpaid upon Securities of such series for principal (and premium, if any) and interest, in respect of which or for the benefit of which such money has been collected, ratably, without preference or priority of any kind, according to the amounts due and payable on such Securities for principal (and premium, if any) and interest, respectively; and</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THIRD: To the payment of the remainder, if any, to the Company or any other Person lawfully entitled thereto as requested by the Company.</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bookmarkStart w:id="53" w:name="a_037"/>
      <w:bookmarkEnd w:id="53"/>
      <w:r>
        <w:rPr>
          <w:rFonts w:ascii="Times New Roman;Times;Serif" w:hAnsi="Times New Roman;Times;Serif"/>
          <w:b/>
          <w:i w:val="false"/>
          <w:caps w:val="false"/>
          <w:smallCaps w:val="false"/>
          <w:sz w:val="20"/>
        </w:rPr>
        <w:t>Section 6.04 Limitation on Suits.</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holder of any Security of any series shall have any right by virtue or by availing of any provision of this Indenture to institute any suit, action or proceeding in equity or at law upon or under or with respect to this Indenture or for the appointment of a receiver or trustee, or for any other remedy hereunder, unless (i) such holder previously shall have given to the Trustee written notice of an Event of Default and of the continuance thereof with respect to the Securities of such series specifying such Event of Default, as hereinbefore provided; (ii) the holders of not less than 25% in aggregate principal amount of the Securities of such series then Outstanding shall have made written request upon the Trustee to institute such action, suit or proceeding in its own name as Trustee hereunder; (iii) such holder or holders shall have offered to the Trustee such reasonable indemnity as it may require against the costs, expenses and liabilities to be incurred therein or thereby; (iv) the Trustee for 90 days after its receipt of such notice, request and offer of indemnity, shall have failed to institute any such action, suit or proceeding and (v) during such 90 day period, the holders of a majority in principal amount of the Securities of that series do not give the Trustee a direction inconsistent with the request.</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Notwithstanding anything contained herein to the contrary or any other provisions of this Indenture, the right of any holder of any Security to receive payment of the principal of (and premium, if any) and interest on such Security, as therein provided, on or after the respective due dates expressed in such Security (or in the case of redemption, on the redemption date), or to institute suit for the enforcement of any such payment on or after such respective dates or redemption date, shall not be impaired or affected without the consent of such holder and by accepting a Security hereunder it is expressly understood, intended and covenanted by the taker and holder of every Security of such series with every other such taker and holder and the Trustee, that no one or more holders of Securities of such series shall have any right in any manner whatsoever by virtue or by availing of any provision of this Indenture to affect, disturb or prejudice the rights of the holders of any other of such Securities, or to obtain or seek to obtain priority over or preference to any other such holder, or to enforce any right under this Indenture, except in the manner herein provided and for the equal, ratable and common benefit of all holders of Securities of such series. For the protection and enforcement of the provisions of this Section, each and every Securityholder and the Trustee shall be entitled to such relief as can be given either at law or in equity.</w:t>
      </w:r>
    </w:p>
    <w:p>
      <w:pPr>
        <w:pStyle w:val="TextBody"/>
        <w:bidi w:val="0"/>
        <w:jc w:val="both"/>
        <w:rPr>
          <w:caps w:val="false"/>
          <w:smallCaps w:val="false"/>
        </w:rPr>
      </w:pPr>
      <w:r>
        <w:rPr>
          <w:caps w:val="false"/>
          <w:smallCaps w:val="false"/>
        </w:rPr>
        <w:t> </w:t>
      </w:r>
    </w:p>
    <w:p>
      <w:pPr>
        <w:pStyle w:val="TextBody"/>
        <w:bidi w:val="0"/>
        <w:spacing w:before="0" w:after="0"/>
        <w:jc w:val="center"/>
        <w:rPr>
          <w:bdr w:val="single" w:sz="12" w:space="1" w:color="000000"/>
        </w:rPr>
      </w:pPr>
      <w:r>
        <w:rPr>
          <w:bdr w:val="single" w:sz="12" w:space="1" w:color="000000"/>
        </w:rPr>
        <w:t>24</w:t>
      </w:r>
    </w:p>
    <w:p>
      <w:pPr>
        <w:pStyle w:val="TextBody"/>
        <w:bidi w:val="0"/>
        <w:spacing w:before="0" w:after="0"/>
        <w:ind w:left="0" w:right="0" w:hanging="0"/>
        <w:jc w:val="left"/>
        <w:rPr/>
      </w:pPr>
      <w:r>
        <w:rPr/>
        <w:t> </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bookmarkStart w:id="54" w:name="a_038"/>
      <w:bookmarkEnd w:id="54"/>
      <w:r>
        <w:rPr>
          <w:rFonts w:ascii="Times New Roman;Times;Serif" w:hAnsi="Times New Roman;Times;Serif"/>
          <w:b/>
          <w:i w:val="false"/>
          <w:caps w:val="false"/>
          <w:smallCaps w:val="false"/>
          <w:sz w:val="20"/>
        </w:rPr>
        <w:t>Section 6.05 Rights and Remedies Cumulative; Delay or Omission Not Waiver.</w:t>
      </w:r>
    </w:p>
    <w:p>
      <w:pPr>
        <w:pStyle w:val="TextBody"/>
        <w:bidi w:val="0"/>
        <w:ind w:left="0" w:right="0" w:firstLine="720"/>
        <w:jc w:val="left"/>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(a) </w:t>
      </w:r>
      <w:r>
        <w:rPr>
          <w:rFonts w:ascii="Times New Roman;Times;Serif" w:hAnsi="Times New Roman;Times;Serif"/>
          <w:b w:val="false"/>
          <w:i w:val="false"/>
          <w:caps w:val="false"/>
          <w:smallCaps w:val="false"/>
          <w:sz w:val="20"/>
        </w:rPr>
        <w:t>Except as otherwise provided in Section 2.07, all powers and remedies given by this Article to the Trustee or to the Securityholders shall, to the extent permitted by law, be deemed cumulative and not exclusive of any other powers and remedies available to the Trustee or the holders of the Securities, by judicial proceedings or otherwise, to enforce the performance or observance of the covenants and agreements contained in this Indenture or otherwise established with respect to such Securities.</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(b) </w:t>
      </w:r>
      <w:r>
        <w:rPr>
          <w:rFonts w:ascii="Times New Roman;Times;Serif" w:hAnsi="Times New Roman;Times;Serif"/>
          <w:b w:val="false"/>
          <w:i w:val="false"/>
          <w:caps w:val="false"/>
          <w:smallCaps w:val="false"/>
          <w:sz w:val="20"/>
        </w:rPr>
        <w:t>No delay or omission of the Trustee or of any holder of any of the Securities to exercise any right or power accruing upon any Event of Default occurring and continuing as aforesaid shall impair any such right or power, or shall be construed to be a waiver of any such default or an acquiescence therein; and, subject to the provisions of Section 6.04, every power and remedy given by this Article or by law to the Trustee or the Securityholders may be exercised from time to time, and as often as shall be deemed expedient, by the Trustee or by the Securityholders.</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bookmarkStart w:id="55" w:name="a_039"/>
      <w:bookmarkEnd w:id="55"/>
      <w:r>
        <w:rPr>
          <w:rFonts w:ascii="Times New Roman;Times;Serif" w:hAnsi="Times New Roman;Times;Serif"/>
          <w:b/>
          <w:i w:val="false"/>
          <w:caps w:val="false"/>
          <w:smallCaps w:val="false"/>
          <w:sz w:val="20"/>
        </w:rPr>
        <w:t>Section 6.06 Control by Securityholders.</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holders of a majority in aggregate principal amount of the Securities of any series at the time Outstanding, determined in accordance with Section 8.04, shall have the right to direct the time, method and place of conducting any proceeding for any remedy available to the Trustee, or exercising any trust or power conferred on the Trustee with respect to such series; provided, however, that such direction shall not be in conflict with any rule of law or with this Indenture. Subject to the provisions of Section 7.01, the Trustee shall have the right to decline to follow any such direction if the Trustee in good faith shall, by a Responsible Officer or officers of the Trustee, determine that the proceeding so directed, subject to the Trustee’s duties under the Trust Indenture Act, would involve the Trustee in personal liability or might be unduly prejudicial to the Securityholders not involved in the proceeding. The holders of a majority in aggregate principal amount of the Securities of any series at the time Outstanding affected thereby, determined in accordance with Section 8.04, may on behalf of the holders of all of the Securities of such series waive any past default in the performance of any of the covenants contained herein or established pursuant to Section 2.01 with respect to such series and its consequences, except a default in the payment of the principal of, or premium, if any, or interest on, any of the Securities of that series as and when the same shall become due by the terms of such Securities otherwise than by acceleration (unless such default has been cured and a sum sufficient to pay all matured installments of interest and principal and any premium has been deposited with the Trustee (in accordance with Section 6.01(c)). Upon any such waiver, the default covered thereby shall be deemed to be cured for all purposes of this Indenture and the Company, the Trustee and the holders of the Securities of such series shall be restored to their former positions and rights hereunder, respectively; but no such waiver shall extend to any subsequent or other default or impair any right consequent thereon.</w:t>
      </w:r>
    </w:p>
    <w:p>
      <w:pPr>
        <w:pStyle w:val="TextBody"/>
        <w:bidi w:val="0"/>
        <w:jc w:val="both"/>
        <w:rPr>
          <w:caps w:val="false"/>
          <w:smallCaps w:val="false"/>
        </w:rPr>
      </w:pPr>
      <w:r>
        <w:rPr>
          <w:caps w:val="false"/>
          <w:smallCaps w:val="false"/>
        </w:rPr>
        <w:t> </w:t>
      </w:r>
    </w:p>
    <w:p>
      <w:pPr>
        <w:pStyle w:val="TextBody"/>
        <w:bidi w:val="0"/>
        <w:spacing w:before="0" w:after="0"/>
        <w:jc w:val="center"/>
        <w:rPr>
          <w:bdr w:val="single" w:sz="12" w:space="1" w:color="000000"/>
        </w:rPr>
      </w:pPr>
      <w:r>
        <w:rPr>
          <w:bdr w:val="single" w:sz="12" w:space="1" w:color="000000"/>
        </w:rPr>
        <w:t>25</w:t>
      </w:r>
    </w:p>
    <w:p>
      <w:pPr>
        <w:pStyle w:val="TextBody"/>
        <w:bidi w:val="0"/>
        <w:spacing w:before="0" w:after="0"/>
        <w:ind w:left="0" w:right="0" w:hanging="0"/>
        <w:jc w:val="left"/>
        <w:rPr/>
      </w:pPr>
      <w:r>
        <w:rPr/>
        <w:t> </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bookmarkStart w:id="56" w:name="a_040"/>
      <w:bookmarkEnd w:id="56"/>
      <w:r>
        <w:rPr>
          <w:rFonts w:ascii="Times New Roman;Times;Serif" w:hAnsi="Times New Roman;Times;Serif"/>
          <w:b/>
          <w:i w:val="false"/>
          <w:caps w:val="false"/>
          <w:smallCaps w:val="false"/>
          <w:sz w:val="20"/>
        </w:rPr>
        <w:t>Section 6.07 Undertaking to Pay Costs.</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parties to this Indenture agree, and each holder of any Securities by such holder’s acceptance thereof shall be deemed to have agreed, that any court may in its discretion require, in any suit for the enforcement of any right or remedy under this Indenture, or in any suit against the Trustee for any action taken or omitted by it as Trustee, the filing by any party litigant in such suit of an undertaking to pay the costs of such suit, and that such court may in its discretion assess reasonable costs, including reasonable attorneys’ fees, against any party litigant in such suit, having due regard to the merits and good faith of the claims or defenses made by such party litigant; but the provisions of this Section shall not apply to any suit instituted by the Trustee, to any suit instituted by any Securityholder, or group of Securityholders, holding more than 10% in aggregate principal amount of the Outstanding Securities of any series, or to any suit instituted by any Securityholder for the enforcement of the payment of the principal of (or premium, if any) or interest on any Security of such series, on or after the respective due dates expressed in such Security or established pursuant to this Indenture.</w:t>
      </w:r>
    </w:p>
    <w:p>
      <w:pPr>
        <w:pStyle w:val="TextBody"/>
        <w:bidi w:val="0"/>
        <w:jc w:val="center"/>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0"/>
        </w:rPr>
      </w:pPr>
      <w:bookmarkStart w:id="57" w:name="a_041"/>
      <w:bookmarkEnd w:id="57"/>
      <w:r>
        <w:rPr>
          <w:rFonts w:ascii="Times New Roman;Times;Serif" w:hAnsi="Times New Roman;Times;Serif"/>
          <w:b/>
          <w:i w:val="false"/>
          <w:caps w:val="false"/>
          <w:smallCaps w:val="false"/>
          <w:sz w:val="20"/>
        </w:rPr>
        <w:t>ARTICLE 7</w:t>
      </w:r>
    </w:p>
    <w:p>
      <w:pPr>
        <w:pStyle w:val="TextBody"/>
        <w:bidi w:val="0"/>
        <w:jc w:val="center"/>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CONCERNING THE TRUSTEE</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bookmarkStart w:id="58" w:name="a_042"/>
      <w:bookmarkEnd w:id="58"/>
      <w:r>
        <w:rPr>
          <w:rFonts w:ascii="Times New Roman;Times;Serif" w:hAnsi="Times New Roman;Times;Serif"/>
          <w:b/>
          <w:i w:val="false"/>
          <w:caps w:val="false"/>
          <w:smallCaps w:val="false"/>
          <w:sz w:val="20"/>
        </w:rPr>
        <w:t>Section 7.01 Certain Duties and Responsibilities of Trustee.</w:t>
      </w:r>
    </w:p>
    <w:p>
      <w:pPr>
        <w:pStyle w:val="TextBody"/>
        <w:bidi w:val="0"/>
        <w:ind w:left="0" w:right="0" w:firstLine="720"/>
        <w:jc w:val="left"/>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(a) </w:t>
      </w:r>
      <w:r>
        <w:rPr>
          <w:rFonts w:ascii="Times New Roman;Times;Serif" w:hAnsi="Times New Roman;Times;Serif"/>
          <w:b w:val="false"/>
          <w:i w:val="false"/>
          <w:caps w:val="false"/>
          <w:smallCaps w:val="false"/>
          <w:sz w:val="20"/>
        </w:rPr>
        <w:t>The Trustee, prior to the occurrence of an Event of Default with respect to the Securities of a series and after the curing of all Events of Default with respect to the Securities of that series that may have occurred, shall undertake to perform with respect to the Securities of such series such duties and only such duties as are specifically set forth in this Indenture, and no implied covenants shall be read into this Indenture against the Trustee. In case an Event of Default with respect to the Securities of a series has occurred (that has not been cured or waived), the Trustee shall exercise with respect to Securities of that series such of the rights and powers vested in it by this Indenture, and use the same degree of care and skill in their exercise, as a prudent man would exercise or use under the circumstances in the conduct of his own affairs.</w:t>
      </w:r>
    </w:p>
    <w:p>
      <w:pPr>
        <w:pStyle w:val="TextBody"/>
        <w:bidi w:val="0"/>
        <w:ind w:left="0" w:right="0" w:firstLine="720"/>
        <w:jc w:val="left"/>
        <w:rPr>
          <w:caps w:val="false"/>
          <w:smallCaps w:val="false"/>
        </w:rPr>
      </w:pPr>
      <w:r>
        <w:rPr>
          <w:caps w:val="false"/>
          <w:smallCaps w:val="false"/>
        </w:rPr>
        <w:t> </w:t>
      </w:r>
    </w:p>
    <w:p>
      <w:pPr>
        <w:pStyle w:val="TextBody"/>
        <w:bidi w:val="0"/>
        <w:spacing w:before="0" w:after="0"/>
        <w:ind w:left="0" w:right="0" w:firstLine="720"/>
        <w:jc w:val="center"/>
        <w:rPr>
          <w:bdr w:val="single" w:sz="12" w:space="1" w:color="000000"/>
        </w:rPr>
      </w:pPr>
      <w:r>
        <w:rPr>
          <w:bdr w:val="single" w:sz="12" w:space="1" w:color="000000"/>
        </w:rPr>
        <w:t>26</w:t>
      </w:r>
    </w:p>
    <w:p>
      <w:pPr>
        <w:pStyle w:val="TextBody"/>
        <w:bidi w:val="0"/>
        <w:spacing w:before="0" w:after="0"/>
        <w:ind w:left="0" w:right="0" w:hanging="0"/>
        <w:jc w:val="left"/>
        <w:rPr/>
      </w:pPr>
      <w:r>
        <w:rPr/>
        <w:t> </w:t>
      </w:r>
    </w:p>
    <w:p>
      <w:pPr>
        <w:pStyle w:val="TextBody"/>
        <w:bidi w:val="0"/>
        <w:ind w:left="0" w:right="0" w:firstLine="720"/>
        <w:jc w:val="left"/>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(b) </w:t>
      </w:r>
      <w:r>
        <w:rPr>
          <w:rFonts w:ascii="Times New Roman;Times;Serif" w:hAnsi="Times New Roman;Times;Serif"/>
          <w:b w:val="false"/>
          <w:i w:val="false"/>
          <w:caps w:val="false"/>
          <w:smallCaps w:val="false"/>
          <w:sz w:val="20"/>
        </w:rPr>
        <w:t>No provision of this Indenture shall be construed to relieve the Trustee from liability for its own negligent action, its own negligent failure to act, or its own willful misconduct, except that:</w:t>
      </w:r>
    </w:p>
    <w:p>
      <w:pPr>
        <w:pStyle w:val="TextBody"/>
        <w:bidi w:val="0"/>
        <w:ind w:left="0" w:right="0" w:firstLine="2880"/>
        <w:jc w:val="both"/>
        <w:rPr>
          <w:caps w:val="false"/>
          <w:smallCaps w:val="false"/>
        </w:rPr>
      </w:pPr>
      <w:r>
        <w:rPr>
          <w:caps w:val="false"/>
          <w:smallCaps w:val="false"/>
        </w:rPr>
        <w:t> </w:t>
      </w:r>
    </w:p>
    <w:p>
      <w:pPr>
        <w:pStyle w:val="TextBody"/>
        <w:bidi w:val="0"/>
        <w:ind w:left="0" w:right="0" w:firstLine="288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(i) </w:t>
      </w:r>
      <w:r>
        <w:rPr>
          <w:rFonts w:ascii="Times New Roman;Times;Serif" w:hAnsi="Times New Roman;Times;Serif"/>
          <w:b w:val="false"/>
          <w:i w:val="false"/>
          <w:caps w:val="false"/>
          <w:smallCaps w:val="false"/>
          <w:sz w:val="20"/>
        </w:rPr>
        <w:t>prior to the occurrence of an Event of Default with respect to the Securities of a series and after the curing or waiving of all such Events of Default with respect to that series that may have occurred:</w:t>
      </w:r>
    </w:p>
    <w:p>
      <w:pPr>
        <w:pStyle w:val="TextBody"/>
        <w:bidi w:val="0"/>
        <w:ind w:left="0" w:right="0" w:firstLine="2160"/>
        <w:jc w:val="both"/>
        <w:rPr>
          <w:caps w:val="false"/>
          <w:smallCaps w:val="false"/>
        </w:rPr>
      </w:pPr>
      <w:r>
        <w:rPr>
          <w:caps w:val="false"/>
          <w:smallCaps w:val="false"/>
        </w:rPr>
        <w:t> </w:t>
      </w:r>
    </w:p>
    <w:p>
      <w:pPr>
        <w:pStyle w:val="TextBody"/>
        <w:bidi w:val="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(A) </w:t>
      </w:r>
      <w:r>
        <w:rPr>
          <w:rFonts w:ascii="Times New Roman;Times;Serif" w:hAnsi="Times New Roman;Times;Serif"/>
          <w:b w:val="false"/>
          <w:i w:val="false"/>
          <w:caps w:val="false"/>
          <w:smallCaps w:val="false"/>
          <w:sz w:val="20"/>
        </w:rPr>
        <w:t>the duties and obligations of the Trustee shall with respect to the Securities of such series be determined solely by the express provisions of this Indenture, and the Trustee shall not be liable with respect to the Securities of such series except for the performance of such duties and obligations as are specifically set forth in this Indenture, and no implied covenants or obligations shall be read into this Indenture against the Trustee; and</w:t>
      </w:r>
    </w:p>
    <w:p>
      <w:pPr>
        <w:pStyle w:val="TextBody"/>
        <w:bidi w:val="0"/>
        <w:ind w:left="0" w:right="0" w:firstLine="2160"/>
        <w:jc w:val="both"/>
        <w:rPr>
          <w:caps w:val="false"/>
          <w:smallCaps w:val="false"/>
        </w:rPr>
      </w:pPr>
      <w:r>
        <w:rPr>
          <w:caps w:val="false"/>
          <w:smallCaps w:val="false"/>
        </w:rPr>
        <w:t> </w:t>
      </w:r>
    </w:p>
    <w:p>
      <w:pPr>
        <w:pStyle w:val="TextBody"/>
        <w:bidi w:val="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(B) </w:t>
      </w:r>
      <w:r>
        <w:rPr>
          <w:rFonts w:ascii="Times New Roman;Times;Serif" w:hAnsi="Times New Roman;Times;Serif"/>
          <w:b w:val="false"/>
          <w:i w:val="false"/>
          <w:caps w:val="false"/>
          <w:smallCaps w:val="false"/>
          <w:sz w:val="20"/>
        </w:rPr>
        <w:t>in the absence of bad faith on the part of the Trustee, the Trustee may with respect to the Securities of such series conclusively rely, as to the truth of the statements and the correctness of the opinions expressed therein, upon any certificates or opinions furnished to the Trustee and conforming to the requirements of this Indenture; but in the case of any such certificates or opinions that by any provision hereof are specifically required to be furnished to the Trustee, the Trustee shall be under a duty to examine the same to determine whether or not they conform to the requirement of this Indenture;</w:t>
      </w:r>
    </w:p>
    <w:p>
      <w:pPr>
        <w:pStyle w:val="TextBody"/>
        <w:bidi w:val="0"/>
        <w:ind w:left="0" w:right="0" w:firstLine="2880"/>
        <w:jc w:val="both"/>
        <w:rPr>
          <w:caps w:val="false"/>
          <w:smallCaps w:val="false"/>
        </w:rPr>
      </w:pPr>
      <w:r>
        <w:rPr>
          <w:caps w:val="false"/>
          <w:smallCaps w:val="false"/>
        </w:rPr>
        <w:t> </w:t>
      </w:r>
    </w:p>
    <w:p>
      <w:pPr>
        <w:pStyle w:val="TextBody"/>
        <w:bidi w:val="0"/>
        <w:ind w:left="0" w:right="0" w:firstLine="288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(ii) </w:t>
      </w:r>
      <w:r>
        <w:rPr>
          <w:rFonts w:ascii="Times New Roman;Times;Serif" w:hAnsi="Times New Roman;Times;Serif"/>
          <w:b w:val="false"/>
          <w:i w:val="false"/>
          <w:caps w:val="false"/>
          <w:smallCaps w:val="false"/>
          <w:sz w:val="20"/>
        </w:rPr>
        <w:t>the Trustee shall not be liable for any error of judgment made in good faith by a Responsible Officer or Responsible Officers of the Trustee, unless it shall be proved that the Trustee was negligent in ascertaining the pertinent facts;</w:t>
      </w:r>
    </w:p>
    <w:p>
      <w:pPr>
        <w:pStyle w:val="TextBody"/>
        <w:bidi w:val="0"/>
        <w:ind w:left="0" w:right="0" w:firstLine="2880"/>
        <w:jc w:val="both"/>
        <w:rPr>
          <w:caps w:val="false"/>
          <w:smallCaps w:val="false"/>
        </w:rPr>
      </w:pPr>
      <w:r>
        <w:rPr>
          <w:caps w:val="false"/>
          <w:smallCaps w:val="false"/>
        </w:rPr>
        <w:t> </w:t>
      </w:r>
    </w:p>
    <w:p>
      <w:pPr>
        <w:pStyle w:val="TextBody"/>
        <w:bidi w:val="0"/>
        <w:ind w:left="0" w:right="0" w:firstLine="288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(iii) </w:t>
      </w:r>
      <w:r>
        <w:rPr>
          <w:rFonts w:ascii="Times New Roman;Times;Serif" w:hAnsi="Times New Roman;Times;Serif"/>
          <w:b w:val="false"/>
          <w:i w:val="false"/>
          <w:caps w:val="false"/>
          <w:smallCaps w:val="false"/>
          <w:sz w:val="20"/>
        </w:rPr>
        <w:t>the Trustee shall not be liable with respect to any action taken or omitted to be taken by it in good faith in accordance with the direction of the holders of not less than a majority in principal amount of the Securities of any series at the time Outstanding relating to the time, method and place of conducting any proceeding for any remedy available to the Trustee, or exercising any trust or power conferred upon the Trustee under this Indenture with respect to the Securities of that series; and</w:t>
      </w:r>
    </w:p>
    <w:p>
      <w:pPr>
        <w:pStyle w:val="TextBody"/>
        <w:bidi w:val="0"/>
        <w:ind w:left="0" w:right="0" w:firstLine="2880"/>
        <w:jc w:val="both"/>
        <w:rPr>
          <w:caps w:val="false"/>
          <w:smallCaps w:val="false"/>
        </w:rPr>
      </w:pPr>
      <w:r>
        <w:rPr>
          <w:caps w:val="false"/>
          <w:smallCaps w:val="false"/>
        </w:rPr>
        <w:t> </w:t>
      </w:r>
    </w:p>
    <w:p>
      <w:pPr>
        <w:pStyle w:val="TextBody"/>
        <w:bidi w:val="0"/>
        <w:ind w:left="0" w:right="0" w:firstLine="288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(iv) </w:t>
      </w:r>
      <w:r>
        <w:rPr>
          <w:rFonts w:ascii="Times New Roman;Times;Serif" w:hAnsi="Times New Roman;Times;Serif"/>
          <w:b w:val="false"/>
          <w:i w:val="false"/>
          <w:caps w:val="false"/>
          <w:smallCaps w:val="false"/>
          <w:sz w:val="20"/>
        </w:rPr>
        <w:t>None of the provisions contained in this Indenture shall require the Trustee to expend or risk its own funds or otherwise incur personal financial liability in the performance of any of its duties or in the exercise of any of its rights or powers if there is reasonable ground for believing that the repayment of such funds or liability is not reasonably assured to it under the terms of this Indenture or adequate indemnity against such risk is not reasonably assured to it.</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bookmarkStart w:id="59" w:name="a_043"/>
      <w:bookmarkEnd w:id="59"/>
      <w:r>
        <w:rPr>
          <w:rFonts w:ascii="Times New Roman;Times;Serif" w:hAnsi="Times New Roman;Times;Serif"/>
          <w:b/>
          <w:i w:val="false"/>
          <w:caps w:val="false"/>
          <w:smallCaps w:val="false"/>
          <w:sz w:val="20"/>
        </w:rPr>
        <w:t>Section 7.02 Certain Rights of Trustee.</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Except as otherwise provided in Section 7.01:</w:t>
      </w:r>
    </w:p>
    <w:p>
      <w:pPr>
        <w:pStyle w:val="TextBody"/>
        <w:bidi w:val="0"/>
        <w:ind w:left="0" w:right="0" w:firstLine="720"/>
        <w:jc w:val="left"/>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(a) </w:t>
      </w:r>
      <w:r>
        <w:rPr>
          <w:rFonts w:ascii="Times New Roman;Times;Serif" w:hAnsi="Times New Roman;Times;Serif"/>
          <w:b w:val="false"/>
          <w:i w:val="false"/>
          <w:caps w:val="false"/>
          <w:smallCaps w:val="false"/>
          <w:sz w:val="20"/>
        </w:rPr>
        <w:t>The Trustee may rely conclusively and shall be protected in acting or refraining from acting upon any resolution, certificate, statement, instrument, opinion, report, notice, request, consent, order, approval, bond, security or other paper or document believed by it to be genuine and to have been signed or presented by the proper party or parties;</w:t>
      </w:r>
    </w:p>
    <w:p>
      <w:pPr>
        <w:pStyle w:val="TextBody"/>
        <w:bidi w:val="0"/>
        <w:ind w:left="0" w:right="0" w:firstLine="720"/>
        <w:jc w:val="left"/>
        <w:rPr>
          <w:caps w:val="false"/>
          <w:smallCaps w:val="false"/>
        </w:rPr>
      </w:pPr>
      <w:r>
        <w:rPr>
          <w:caps w:val="false"/>
          <w:smallCaps w:val="false"/>
        </w:rPr>
        <w:t> </w:t>
      </w:r>
    </w:p>
    <w:p>
      <w:pPr>
        <w:pStyle w:val="TextBody"/>
        <w:bidi w:val="0"/>
        <w:spacing w:before="0" w:after="0"/>
        <w:ind w:left="0" w:right="0" w:firstLine="720"/>
        <w:jc w:val="center"/>
        <w:rPr>
          <w:bdr w:val="single" w:sz="12" w:space="1" w:color="000000"/>
        </w:rPr>
      </w:pPr>
      <w:r>
        <w:rPr>
          <w:bdr w:val="single" w:sz="12" w:space="1" w:color="000000"/>
        </w:rPr>
        <w:t>27</w:t>
      </w:r>
    </w:p>
    <w:p>
      <w:pPr>
        <w:pStyle w:val="TextBody"/>
        <w:bidi w:val="0"/>
        <w:spacing w:before="0" w:after="0"/>
        <w:ind w:left="0" w:right="0" w:hanging="0"/>
        <w:jc w:val="left"/>
        <w:rPr/>
      </w:pPr>
      <w:r>
        <w:rPr/>
        <w:t> </w:t>
      </w:r>
    </w:p>
    <w:p>
      <w:pPr>
        <w:pStyle w:val="TextBody"/>
        <w:bidi w:val="0"/>
        <w:ind w:left="0" w:right="0" w:firstLine="720"/>
        <w:jc w:val="left"/>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(b) </w:t>
      </w:r>
      <w:r>
        <w:rPr>
          <w:rFonts w:ascii="Times New Roman;Times;Serif" w:hAnsi="Times New Roman;Times;Serif"/>
          <w:b w:val="false"/>
          <w:i w:val="false"/>
          <w:caps w:val="false"/>
          <w:smallCaps w:val="false"/>
          <w:sz w:val="20"/>
        </w:rPr>
        <w:t>Any request, direction, order or demand of the Company mentioned herein shall be sufficiently evidenced by a Board Resolution or an instrument signed in the name of the Company by any authorized officer of the Company (unless other evidence in respect thereof is specifically prescribed herein);</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(c) </w:t>
      </w:r>
      <w:r>
        <w:rPr>
          <w:rFonts w:ascii="Times New Roman;Times;Serif" w:hAnsi="Times New Roman;Times;Serif"/>
          <w:b w:val="false"/>
          <w:i w:val="false"/>
          <w:caps w:val="false"/>
          <w:smallCaps w:val="false"/>
          <w:sz w:val="20"/>
        </w:rPr>
        <w:t>The Trustee may consult with counsel and the written advice of such counsel or any Opinion of Counsel shall be full and complete authorization and protection in respect of any action taken or suffered or omitted hereunder in good faith and in reliance thereon;</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(d) </w:t>
      </w:r>
      <w:r>
        <w:rPr>
          <w:rFonts w:ascii="Times New Roman;Times;Serif" w:hAnsi="Times New Roman;Times;Serif"/>
          <w:b w:val="false"/>
          <w:i w:val="false"/>
          <w:caps w:val="false"/>
          <w:smallCaps w:val="false"/>
          <w:sz w:val="20"/>
        </w:rPr>
        <w:t>The Trustee shall be under no obligation to exercise any of the rights or powers vested in it by this Indenture at the request, order or direction of any of the Securityholders pursuant to the provisions of this Indenture, unless such Securityholders shall have offered to the Trustee reasonable security or indemnity against the costs, expenses and liabilities that may be incurred therein or thereby; nothing contained herein shall, however, relieve the Trustee of the obligation, upon the occurrence of an Event of Default with respect to a series of the Securities (that has not been cured or waived), to exercise with respect to Securities of that series such of the rights and powers vested in it by this Indenture, and to use the same degree of care and skill in their exercise, as a prudent man would exercise or use under the circumstances in the conduct of his own affairs;</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(e) </w:t>
      </w:r>
      <w:r>
        <w:rPr>
          <w:rFonts w:ascii="Times New Roman;Times;Serif" w:hAnsi="Times New Roman;Times;Serif"/>
          <w:b w:val="false"/>
          <w:i w:val="false"/>
          <w:caps w:val="false"/>
          <w:smallCaps w:val="false"/>
          <w:sz w:val="20"/>
        </w:rPr>
        <w:t>The Trustee shall not be liable for any action taken or omitted to be taken by it in good faith and believed by it to be authorized or within the discretion or rights or powers conferred upon it by this Indenture;</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(f) </w:t>
      </w:r>
      <w:r>
        <w:rPr>
          <w:rFonts w:ascii="Times New Roman;Times;Serif" w:hAnsi="Times New Roman;Times;Serif"/>
          <w:b w:val="false"/>
          <w:i w:val="false"/>
          <w:caps w:val="false"/>
          <w:smallCaps w:val="false"/>
          <w:sz w:val="20"/>
        </w:rPr>
        <w:t>The Trustee shall not be bound to make any investigation into the facts or matters stated in any resolution, certificate, statement, instrument, opinion, report, notice, request, consent, order, approval, bond, security, or other papers or documents, unless requested in writing so to do by the holders of not less than a majority in principal amount of the Outstanding Securities of the particular series affected thereby (determined as provided in Section 8.04); provided, however, that if the payment within a reasonable time to the Trustee of the costs, expenses or liabilities likely to be incurred by it in the making of such investigation is, in the opinion of the Trustee, not reasonably assured to the Trustee by the security afforded to it by the terms of this Indenture, the Trustee may require reasonable indemnity against such costs, expenses or liabilities as a condition to so proceeding. The reasonable expense of every such examination shall be paid by the Company or, if paid by the Trustee, shall be repaid by the Company upon demand; and</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(g) </w:t>
      </w:r>
      <w:r>
        <w:rPr>
          <w:rFonts w:ascii="Times New Roman;Times;Serif" w:hAnsi="Times New Roman;Times;Serif"/>
          <w:b w:val="false"/>
          <w:i w:val="false"/>
          <w:caps w:val="false"/>
          <w:smallCaps w:val="false"/>
          <w:sz w:val="20"/>
        </w:rPr>
        <w:t>The Trustee may execute any of the trusts or powers hereunder or perform any duties hereunder either directly or by or through agents or attorneys and the Trustee shall not be responsible for any misconduct or negligence on the part of any agent or attorney appointed with due care by it hereunder.</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the Trustee shall not be deemed to have knowledge of any Default or Event of Default except (1) any Event of Default occurring pursuant to Sections 6.01(a)(1), 6.01(a)(2) and 4.01 hereof or (2) any Default or Event of Default of which the Trustee shall have received written notification in the manner set forth in this Indenture or a Responsible Officer of the Trustee shall have obtained actual knowledge. Delivery of reports, information and documents to the Trustee under Section 5.03 is for informational purposes only and the information and the Trustee’s receipt of the foregoing shall not constitute constructive notice of any information contained therein, or determinable from information contained therein including the Company’s compliance with any of their covenants thereunder (as to which the Trustee is entitled to rely conclusively on an Officers’ Certificate).</w:t>
      </w:r>
    </w:p>
    <w:p>
      <w:pPr>
        <w:pStyle w:val="TextBody"/>
        <w:bidi w:val="0"/>
        <w:jc w:val="both"/>
        <w:rPr>
          <w:caps w:val="false"/>
          <w:smallCaps w:val="false"/>
        </w:rPr>
      </w:pPr>
      <w:r>
        <w:rPr>
          <w:caps w:val="false"/>
          <w:smallCaps w:val="false"/>
        </w:rPr>
        <w:t> </w:t>
      </w:r>
    </w:p>
    <w:p>
      <w:pPr>
        <w:pStyle w:val="TextBody"/>
        <w:bidi w:val="0"/>
        <w:spacing w:before="0" w:after="0"/>
        <w:jc w:val="center"/>
        <w:rPr>
          <w:bdr w:val="single" w:sz="12" w:space="1" w:color="000000"/>
        </w:rPr>
      </w:pPr>
      <w:r>
        <w:rPr>
          <w:bdr w:val="single" w:sz="12" w:space="1" w:color="000000"/>
        </w:rPr>
        <w:t>28</w:t>
      </w:r>
    </w:p>
    <w:p>
      <w:pPr>
        <w:pStyle w:val="TextBody"/>
        <w:bidi w:val="0"/>
        <w:spacing w:before="0" w:after="0"/>
        <w:ind w:left="0" w:right="0" w:hanging="0"/>
        <w:jc w:val="left"/>
        <w:rPr/>
      </w:pPr>
      <w:r>
        <w:rPr/>
        <w:t> </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bookmarkStart w:id="60" w:name="a_044"/>
      <w:bookmarkEnd w:id="60"/>
      <w:r>
        <w:rPr>
          <w:rFonts w:ascii="Times New Roman;Times;Serif" w:hAnsi="Times New Roman;Times;Serif"/>
          <w:b/>
          <w:i w:val="false"/>
          <w:caps w:val="false"/>
          <w:smallCaps w:val="false"/>
          <w:sz w:val="20"/>
        </w:rPr>
        <w:t>Section 7.03 Trustee Not Responsible for Recitals or Issuance or Securities.</w:t>
      </w:r>
    </w:p>
    <w:p>
      <w:pPr>
        <w:pStyle w:val="TextBody"/>
        <w:bidi w:val="0"/>
        <w:ind w:left="0" w:right="0" w:firstLine="720"/>
        <w:jc w:val="left"/>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(a) </w:t>
      </w:r>
      <w:r>
        <w:rPr>
          <w:rFonts w:ascii="Times New Roman;Times;Serif" w:hAnsi="Times New Roman;Times;Serif"/>
          <w:b w:val="false"/>
          <w:i w:val="false"/>
          <w:caps w:val="false"/>
          <w:smallCaps w:val="false"/>
          <w:sz w:val="20"/>
        </w:rPr>
        <w:t>The recitals contained herein and in the Securities shall be taken as the statements of the Company, and the Trustee assumes no responsibility for the correctness of the same.</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(b) </w:t>
      </w:r>
      <w:r>
        <w:rPr>
          <w:rFonts w:ascii="Times New Roman;Times;Serif" w:hAnsi="Times New Roman;Times;Serif"/>
          <w:b w:val="false"/>
          <w:i w:val="false"/>
          <w:caps w:val="false"/>
          <w:smallCaps w:val="false"/>
          <w:sz w:val="20"/>
        </w:rPr>
        <w:t>The Trustee makes no representations as to the validity or sufficiency of this Indenture or of the Securities.</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(c) </w:t>
      </w:r>
      <w:r>
        <w:rPr>
          <w:rFonts w:ascii="Times New Roman;Times;Serif" w:hAnsi="Times New Roman;Times;Serif"/>
          <w:b w:val="false"/>
          <w:i w:val="false"/>
          <w:caps w:val="false"/>
          <w:smallCaps w:val="false"/>
          <w:sz w:val="20"/>
        </w:rPr>
        <w:t>The Trustee shall not be accountable for the use or application by the Company of any of the Securities or of the proceeds of such Securities, or for the use or application of any moneys paid over by the Trustee in accordance with any provision of this Indenture or established pursuant to Section 2.01, or for the use or application of any moneys received by any paying agent other than the Trustee.</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bookmarkStart w:id="61" w:name="a_045"/>
      <w:bookmarkEnd w:id="61"/>
      <w:r>
        <w:rPr>
          <w:rFonts w:ascii="Times New Roman;Times;Serif" w:hAnsi="Times New Roman;Times;Serif"/>
          <w:b/>
          <w:i w:val="false"/>
          <w:caps w:val="false"/>
          <w:smallCaps w:val="false"/>
          <w:sz w:val="20"/>
        </w:rPr>
        <w:t>Section 7.04 May Hold Securities.</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Trustee or any paying agent or Security Registrar, in its individual or any other capacity, may become the owner or pledgee of Securities with the same rights it would have if it were not Trustee, paying agent or Security Registrar.</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bookmarkStart w:id="62" w:name="a_046"/>
      <w:bookmarkEnd w:id="62"/>
      <w:r>
        <w:rPr>
          <w:rFonts w:ascii="Times New Roman;Times;Serif" w:hAnsi="Times New Roman;Times;Serif"/>
          <w:b/>
          <w:i w:val="false"/>
          <w:caps w:val="false"/>
          <w:smallCaps w:val="false"/>
          <w:sz w:val="20"/>
        </w:rPr>
        <w:t>Section 7.05 Moneys Held in Trust.</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Subject to the provisions of Section 11.05, all moneys received by the Trustee shall, until used or applied as herein provided, be held in trust for the purposes for which they were received, but need not be segregated from other funds except to the extent required by law. The Trustee shall be under no liability for interest on any moneys received by it hereunder except such as it may agree with the Company to pay thereon.</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bookmarkStart w:id="63" w:name="a_047"/>
      <w:bookmarkEnd w:id="63"/>
      <w:r>
        <w:rPr>
          <w:rFonts w:ascii="Times New Roman;Times;Serif" w:hAnsi="Times New Roman;Times;Serif"/>
          <w:b/>
          <w:i w:val="false"/>
          <w:caps w:val="false"/>
          <w:smallCaps w:val="false"/>
          <w:sz w:val="20"/>
        </w:rPr>
        <w:t>Section 7.06 Compensation and Reimbursement.</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(a) </w:t>
      </w:r>
      <w:r>
        <w:rPr>
          <w:rFonts w:ascii="Times New Roman;Times;Serif" w:hAnsi="Times New Roman;Times;Serif"/>
          <w:b w:val="false"/>
          <w:i w:val="false"/>
          <w:caps w:val="false"/>
          <w:smallCaps w:val="false"/>
          <w:sz w:val="20"/>
        </w:rPr>
        <w:t>The Company covenants and agrees to pay to the Trustee, and the Trustee shall be entitled to, such reasonable compensation (which shall not be limited by any provision of law in regard to the compensation of a trustee of an express trust) as the Company and the Trustee may from time to time agree in writing, for all services rendered by it in the execution of the trusts hereby created and in the exercise and performance of any of the powers and duties hereunder of the Trustee, and, except as otherwise expressly provided herein, the Company will pay or reimburse the Trustee upon its request for all reasonable expenses, disbursements and advances incurred or made by the Trustee in accordance with any of the provisions of this Indenture (including the reasonable compensation and the expenses and disbursements of its counsel and of all Persons not regularly in its employ), except any such expense, disbursement or advance as may arise from its negligence or bad faith and except as the Company and Trustee may from time to time agree in writing. The Company also covenants to indemnify the Trustee (and its officers, agents, directors and employees) for, and to hold it harmless against, any loss, liability or expense incurred without negligence or bad faith on the part of the Trustee and arising out of or in connection with the acceptance or administration of this trust, including the reasonable costs and expenses of defending itself against any claim of liability in the premises.</w:t>
      </w:r>
    </w:p>
    <w:p>
      <w:pPr>
        <w:pStyle w:val="TextBody"/>
        <w:bidi w:val="0"/>
        <w:ind w:left="0" w:right="0" w:firstLine="720"/>
        <w:jc w:val="left"/>
        <w:rPr>
          <w:caps w:val="false"/>
          <w:smallCaps w:val="false"/>
        </w:rPr>
      </w:pPr>
      <w:r>
        <w:rPr>
          <w:caps w:val="false"/>
          <w:smallCaps w:val="false"/>
        </w:rPr>
        <w:t> </w:t>
      </w:r>
    </w:p>
    <w:p>
      <w:pPr>
        <w:pStyle w:val="TextBody"/>
        <w:bidi w:val="0"/>
        <w:spacing w:before="0" w:after="0"/>
        <w:ind w:left="0" w:right="0" w:firstLine="720"/>
        <w:jc w:val="center"/>
        <w:rPr>
          <w:bdr w:val="single" w:sz="12" w:space="1" w:color="000000"/>
        </w:rPr>
      </w:pPr>
      <w:r>
        <w:rPr>
          <w:bdr w:val="single" w:sz="12" w:space="1" w:color="000000"/>
        </w:rPr>
        <w:t>29</w:t>
      </w:r>
    </w:p>
    <w:p>
      <w:pPr>
        <w:pStyle w:val="TextBody"/>
        <w:bidi w:val="0"/>
        <w:spacing w:before="0" w:after="0"/>
        <w:ind w:left="0" w:right="0" w:hanging="0"/>
        <w:jc w:val="left"/>
        <w:rPr/>
      </w:pPr>
      <w:r>
        <w:rPr/>
        <w:t> </w:t>
      </w:r>
    </w:p>
    <w:p>
      <w:pPr>
        <w:pStyle w:val="TextBody"/>
        <w:bidi w:val="0"/>
        <w:ind w:left="0" w:right="0" w:firstLine="720"/>
        <w:jc w:val="left"/>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(b) </w:t>
      </w:r>
      <w:r>
        <w:rPr>
          <w:rFonts w:ascii="Times New Roman;Times;Serif" w:hAnsi="Times New Roman;Times;Serif"/>
          <w:b w:val="false"/>
          <w:i w:val="false"/>
          <w:caps w:val="false"/>
          <w:smallCaps w:val="false"/>
          <w:sz w:val="20"/>
        </w:rPr>
        <w:t>The obligations of the Company under this Section to compensate and indemnify the Trustee and to pay or reimburse the Trustee for reasonable expenses, disbursements and advances shall constitute additional indebtedness hereunder. Such additional indebtedness shall be secured by a lien prior to that of the Securities upon all property and funds held or collected by the Trustee as such, except funds held in trust for the benefit of the holders of particular Securities.</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bookmarkStart w:id="64" w:name="a_048"/>
      <w:bookmarkEnd w:id="64"/>
      <w:r>
        <w:rPr>
          <w:rFonts w:ascii="Times New Roman;Times;Serif" w:hAnsi="Times New Roman;Times;Serif"/>
          <w:b/>
          <w:i w:val="false"/>
          <w:caps w:val="false"/>
          <w:smallCaps w:val="false"/>
          <w:sz w:val="20"/>
        </w:rPr>
        <w:t>Section 7.07 Reliance on Officers’ Certificate.</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Except as otherwise provided in Section 7.01, whenever in the administration of the provisions of this Indenture the Trustee shall deem it reasonably necessary or desirable that a matter be proved or established prior to taking or suffering or omitting to take any action hereunder, such matter (unless other evidence in respect thereof be herein specifically prescribed) may, in the absence of negligence or bad faith on the part of the Trustee, be deemed to be conclusively proved and established by an Officers’ Certificate delivered to the Trustee and such certificate, in the absence of negligence or bad faith on the part of the Trustee, shall be full warrant to the Trustee for any action taken, suffered or omitted to be taken by it under the provisions of this Indenture upon the faith thereof.</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bookmarkStart w:id="65" w:name="a_049"/>
      <w:bookmarkEnd w:id="65"/>
      <w:r>
        <w:rPr>
          <w:rFonts w:ascii="Times New Roman;Times;Serif" w:hAnsi="Times New Roman;Times;Serif"/>
          <w:b/>
          <w:i w:val="false"/>
          <w:caps w:val="false"/>
          <w:smallCaps w:val="false"/>
          <w:sz w:val="20"/>
        </w:rPr>
        <w:t>Section 7.08 Disqualification; Conflicting Interests.</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Trustee has or shall acquire any “conflicting interest” within the meaning of Section 310(b) of the Trust Indenture Act, the Trustee and the Company shall in all respects comply with the provisions of Section 310(b) of the Trust Indenture Act.</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bookmarkStart w:id="66" w:name="a_050"/>
      <w:bookmarkEnd w:id="66"/>
      <w:r>
        <w:rPr>
          <w:rFonts w:ascii="Times New Roman;Times;Serif" w:hAnsi="Times New Roman;Times;Serif"/>
          <w:b/>
          <w:i w:val="false"/>
          <w:caps w:val="false"/>
          <w:smallCaps w:val="false"/>
          <w:sz w:val="20"/>
        </w:rPr>
        <w:t>Section 7.09 Corporate Trustee Required; Eligibility.</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 shall at all times be a Trustee with respect to the Securities issued hereunder which shall at all times be a corporation organized and doing business under the laws of the United States of America or any state or territory thereof or of the District of Columbia, or a corporation or other Person permitted to act as trustee by the Securities and Exchange Commission, authorized under such laws to exercise corporate trust powers, having a combined capital and surplus of at least fifty million U.S. dollars ($50,000,000), and subject to supervision or examination by federal, state, territorial, or District of Columbia authority.</w:t>
      </w:r>
    </w:p>
    <w:p>
      <w:pPr>
        <w:pStyle w:val="TextBody"/>
        <w:bidi w:val="0"/>
        <w:jc w:val="both"/>
        <w:rPr>
          <w:caps w:val="false"/>
          <w:smallCaps w:val="false"/>
        </w:rPr>
      </w:pPr>
      <w:r>
        <w:rPr>
          <w:caps w:val="false"/>
          <w:smallCaps w:val="false"/>
        </w:rPr>
        <w:t> </w:t>
      </w:r>
    </w:p>
    <w:p>
      <w:pPr>
        <w:pStyle w:val="TextBody"/>
        <w:bidi w:val="0"/>
        <w:spacing w:before="0" w:after="0"/>
        <w:jc w:val="center"/>
        <w:rPr>
          <w:bdr w:val="single" w:sz="12" w:space="1" w:color="000000"/>
        </w:rPr>
      </w:pPr>
      <w:r>
        <w:rPr>
          <w:bdr w:val="single" w:sz="12" w:space="1" w:color="000000"/>
        </w:rPr>
        <w:t>30</w:t>
      </w:r>
    </w:p>
    <w:p>
      <w:pPr>
        <w:pStyle w:val="TextBody"/>
        <w:bidi w:val="0"/>
        <w:spacing w:before="0" w:after="0"/>
        <w:ind w:left="0" w:right="0" w:hanging="0"/>
        <w:jc w:val="left"/>
        <w:rPr/>
      </w:pPr>
      <w:r>
        <w:rPr/>
        <w:t> </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such corporation or other Person publishes reports of condition at least annually, pursuant to law or to the requirements of the aforesaid supervising or examining authority, then for the purposes of this Section, the combined capital and surplus of such corporation or other Person shall be deemed to be its combined capital and surplus as set forth in its most recent report of condition so published. The Company may not, nor may any Person directly or indirectly controlling, controlled by, or under common control with the Company, serve as Trustee. In case at any time the Trustee shall cease to be eligible in accordance with the provisions of this Section, the Trustee shall resign immediately in the manner and with the effect specified in Section 7.10.</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bookmarkStart w:id="67" w:name="a_051"/>
      <w:bookmarkEnd w:id="67"/>
      <w:r>
        <w:rPr>
          <w:rFonts w:ascii="Times New Roman;Times;Serif" w:hAnsi="Times New Roman;Times;Serif"/>
          <w:b/>
          <w:i w:val="false"/>
          <w:caps w:val="false"/>
          <w:smallCaps w:val="false"/>
          <w:sz w:val="20"/>
        </w:rPr>
        <w:t>Section 7.10 Resignation and Removal; Appointment of Successor.</w:t>
      </w:r>
    </w:p>
    <w:p>
      <w:pPr>
        <w:pStyle w:val="TextBody"/>
        <w:bidi w:val="0"/>
        <w:ind w:left="0" w:right="0" w:firstLine="720"/>
        <w:jc w:val="left"/>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(a) </w:t>
      </w:r>
      <w:r>
        <w:rPr>
          <w:rFonts w:ascii="Times New Roman;Times;Serif" w:hAnsi="Times New Roman;Times;Serif"/>
          <w:b w:val="false"/>
          <w:i w:val="false"/>
          <w:caps w:val="false"/>
          <w:smallCaps w:val="false"/>
          <w:sz w:val="20"/>
        </w:rPr>
        <w:t>The Trustee or any successor hereafter appointed may at any time resign with respect to the Securities of one or more series by giving written notice thereof to the Company and by transmitting notice of resignation by mail, first class postage prepaid, to the Securityholders of such series, as their names and addresses appear upon the Security Register.</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Upon receiving such notice of resignation, the Company shall promptly appoint a successor trustee with respect to Securities of such series by written instrument, in duplicate, executed by order of the Board of Directors, one copy of which instrument shall be delivered to the resigning Trustee and one copy to the successor trustee. If no successor trustee shall have been so appointed and have accepted appointment within 30 days after the mailing of such notice of resignation, the resigning Trustee may petition any court of competent jurisdiction for the appointment of a successor trustee with respect to Securities of such series, or any Securityholder of that series who has been a bona fide holder of a Security or Securities for at least six months may on behalf of himself and all others similarly situated, petition any such court for the appointment of a successor trustee. Such court may thereupon after such notice, if any, as it may deem proper and prescribe, appoint a successor trustee.</w:t>
      </w:r>
    </w:p>
    <w:p>
      <w:pPr>
        <w:pStyle w:val="TextBody"/>
        <w:bidi w:val="0"/>
        <w:ind w:left="0" w:right="0" w:firstLine="720"/>
        <w:jc w:val="left"/>
        <w:rPr>
          <w:caps w:val="false"/>
          <w:smallCaps w:val="false"/>
        </w:rPr>
      </w:pPr>
      <w:r>
        <w:rPr>
          <w:caps w:val="false"/>
          <w:smallCaps w:val="false"/>
        </w:rPr>
        <w:t> </w:t>
      </w:r>
    </w:p>
    <w:p>
      <w:pPr>
        <w:pStyle w:val="TextBody"/>
        <w:bidi w:val="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(b) </w:t>
      </w:r>
      <w:r>
        <w:rPr>
          <w:rFonts w:ascii="Times New Roman;Times;Serif" w:hAnsi="Times New Roman;Times;Serif"/>
          <w:b w:val="false"/>
          <w:i w:val="false"/>
          <w:caps w:val="false"/>
          <w:smallCaps w:val="false"/>
          <w:sz w:val="20"/>
        </w:rPr>
        <w:t>In case at any time any one of the following shall occur:</w:t>
      </w:r>
    </w:p>
    <w:p>
      <w:pPr>
        <w:pStyle w:val="TextBody"/>
        <w:bidi w:val="0"/>
        <w:ind w:left="0" w:right="0" w:firstLine="2880"/>
        <w:jc w:val="left"/>
        <w:rPr>
          <w:caps w:val="false"/>
          <w:smallCaps w:val="false"/>
        </w:rPr>
      </w:pPr>
      <w:r>
        <w:rPr>
          <w:caps w:val="false"/>
          <w:smallCaps w:val="false"/>
        </w:rPr>
        <w:t> </w:t>
      </w:r>
    </w:p>
    <w:p>
      <w:pPr>
        <w:pStyle w:val="TextBody"/>
        <w:bidi w:val="0"/>
        <w:ind w:left="0" w:right="0" w:firstLine="288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(i) </w:t>
      </w:r>
      <w:r>
        <w:rPr>
          <w:rFonts w:ascii="Times New Roman;Times;Serif" w:hAnsi="Times New Roman;Times;Serif"/>
          <w:b w:val="false"/>
          <w:i w:val="false"/>
          <w:caps w:val="false"/>
          <w:smallCaps w:val="false"/>
          <w:sz w:val="20"/>
        </w:rPr>
        <w:t>the Trustee shall fail to comply with the provisions of Section 7.08 after written request therefor by the Company or by any Securityholder who has been a bona fide holder of a Security or Securities for at least six months; or</w:t>
      </w:r>
    </w:p>
    <w:p>
      <w:pPr>
        <w:pStyle w:val="TextBody"/>
        <w:bidi w:val="0"/>
        <w:ind w:left="0" w:right="0" w:firstLine="2880"/>
        <w:jc w:val="both"/>
        <w:rPr>
          <w:caps w:val="false"/>
          <w:smallCaps w:val="false"/>
        </w:rPr>
      </w:pPr>
      <w:r>
        <w:rPr>
          <w:caps w:val="false"/>
          <w:smallCaps w:val="false"/>
        </w:rPr>
        <w:t> </w:t>
      </w:r>
    </w:p>
    <w:p>
      <w:pPr>
        <w:pStyle w:val="TextBody"/>
        <w:bidi w:val="0"/>
        <w:ind w:left="0" w:right="0" w:firstLine="288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(ii) </w:t>
      </w:r>
      <w:r>
        <w:rPr>
          <w:rFonts w:ascii="Times New Roman;Times;Serif" w:hAnsi="Times New Roman;Times;Serif"/>
          <w:b w:val="false"/>
          <w:i w:val="false"/>
          <w:caps w:val="false"/>
          <w:smallCaps w:val="false"/>
          <w:sz w:val="20"/>
        </w:rPr>
        <w:t>the Trustee shall cease to be eligible in accordance with the provisions of Section 7.09 and shall fail to resign after written request therefor by the Company or by any such Securityholder; or</w:t>
      </w:r>
    </w:p>
    <w:p>
      <w:pPr>
        <w:pStyle w:val="TextBody"/>
        <w:bidi w:val="0"/>
        <w:ind w:left="0" w:right="0" w:firstLine="2880"/>
        <w:jc w:val="both"/>
        <w:rPr>
          <w:caps w:val="false"/>
          <w:smallCaps w:val="false"/>
        </w:rPr>
      </w:pPr>
      <w:r>
        <w:rPr>
          <w:caps w:val="false"/>
          <w:smallCaps w:val="false"/>
        </w:rPr>
        <w:t> </w:t>
      </w:r>
    </w:p>
    <w:p>
      <w:pPr>
        <w:pStyle w:val="TextBody"/>
        <w:bidi w:val="0"/>
        <w:ind w:left="0" w:right="0" w:firstLine="288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(iii) </w:t>
      </w:r>
      <w:r>
        <w:rPr>
          <w:rFonts w:ascii="Times New Roman;Times;Serif" w:hAnsi="Times New Roman;Times;Serif"/>
          <w:b w:val="false"/>
          <w:i w:val="false"/>
          <w:caps w:val="false"/>
          <w:smallCaps w:val="false"/>
          <w:sz w:val="20"/>
        </w:rPr>
        <w:t>the Trustee shall become incapable of acting, or shall be adjudged a bankrupt or insolvent, or commence a voluntary bankruptcy proceeding, or a receiver of the Trustee or of its property shall be appointed or consented to, or any public officer shall take charge or control of the Trustee or of its property or affairs for the purpose of rehabilitation, conservation or liquidation; then, in any such case, the Company may remove the Trustee with respect to all Securities and appoint a successor trustee by written instrument, in duplicate, executed by order of the Board of Directors, one copy of which instrument shall be delivered to the Trustee so removed and one copy to the successor trustee, or any Securityholder who has been a bona fide holder of a Security or Securities for at least six months may, on behalf of that holder and all others similarly situated, petition any court of competent jurisdiction for the removal of the Trustee and the appointment of a successor trustee. Such court may thereupon after such notice, if any, as it may deem proper and prescribe, remove the Trustee and appoint a successor trustee.</w:t>
      </w:r>
    </w:p>
    <w:p>
      <w:pPr>
        <w:pStyle w:val="TextBody"/>
        <w:bidi w:val="0"/>
        <w:ind w:left="0" w:right="0" w:firstLine="720"/>
        <w:jc w:val="left"/>
        <w:rPr>
          <w:caps w:val="false"/>
          <w:smallCaps w:val="false"/>
        </w:rPr>
      </w:pPr>
      <w:r>
        <w:rPr>
          <w:caps w:val="false"/>
          <w:smallCaps w:val="false"/>
        </w:rPr>
        <w:t> </w:t>
      </w:r>
    </w:p>
    <w:p>
      <w:pPr>
        <w:pStyle w:val="TextBody"/>
        <w:bidi w:val="0"/>
        <w:spacing w:before="0" w:after="0"/>
        <w:ind w:left="0" w:right="0" w:firstLine="720"/>
        <w:jc w:val="center"/>
        <w:rPr>
          <w:bdr w:val="single" w:sz="12" w:space="1" w:color="000000"/>
        </w:rPr>
      </w:pPr>
      <w:r>
        <w:rPr>
          <w:bdr w:val="single" w:sz="12" w:space="1" w:color="000000"/>
        </w:rPr>
        <w:t>31</w:t>
      </w:r>
    </w:p>
    <w:p>
      <w:pPr>
        <w:pStyle w:val="TextBody"/>
        <w:bidi w:val="0"/>
        <w:spacing w:before="0" w:after="0"/>
        <w:ind w:left="0" w:right="0" w:hanging="0"/>
        <w:jc w:val="left"/>
        <w:rPr/>
      </w:pPr>
      <w:r>
        <w:rPr/>
        <w:t> </w:t>
      </w:r>
    </w:p>
    <w:p>
      <w:pPr>
        <w:pStyle w:val="TextBody"/>
        <w:bidi w:val="0"/>
        <w:ind w:left="0" w:right="0" w:firstLine="720"/>
        <w:jc w:val="left"/>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(c) </w:t>
      </w:r>
      <w:r>
        <w:rPr>
          <w:rFonts w:ascii="Times New Roman;Times;Serif" w:hAnsi="Times New Roman;Times;Serif"/>
          <w:b w:val="false"/>
          <w:i w:val="false"/>
          <w:caps w:val="false"/>
          <w:smallCaps w:val="false"/>
          <w:sz w:val="20"/>
        </w:rPr>
        <w:t>The holders of a majority in aggregate principal amount of the Securities of any series at the time Outstanding may at any time remove the Trustee with respect to such series by so notifying the Trustee and the Company and may appoint a successor Trustee for such series with the consent of the Company.</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(d) </w:t>
      </w:r>
      <w:r>
        <w:rPr>
          <w:rFonts w:ascii="Times New Roman;Times;Serif" w:hAnsi="Times New Roman;Times;Serif"/>
          <w:b w:val="false"/>
          <w:i w:val="false"/>
          <w:caps w:val="false"/>
          <w:smallCaps w:val="false"/>
          <w:sz w:val="20"/>
        </w:rPr>
        <w:t>Any resignation or removal of the Trustee and appointment of a successor trustee with respect to the Securities of a series pursuant to any of the provisions of this Section shall become effective upon acceptance of appointment by the successor trustee as provided in Section 7.11.</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(e) </w:t>
      </w:r>
      <w:r>
        <w:rPr>
          <w:rFonts w:ascii="Times New Roman;Times;Serif" w:hAnsi="Times New Roman;Times;Serif"/>
          <w:b w:val="false"/>
          <w:i w:val="false"/>
          <w:caps w:val="false"/>
          <w:smallCaps w:val="false"/>
          <w:sz w:val="20"/>
        </w:rPr>
        <w:t>Any successor trustee appointed pursuant to this Section may be appointed with respect to the Securities of one or more series or all of such series, and at any time there shall be only one Trustee with respect to the Securities of any particular series.</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bookmarkStart w:id="68" w:name="a_052"/>
      <w:bookmarkEnd w:id="68"/>
      <w:r>
        <w:rPr>
          <w:rFonts w:ascii="Times New Roman;Times;Serif" w:hAnsi="Times New Roman;Times;Serif"/>
          <w:b/>
          <w:i w:val="false"/>
          <w:caps w:val="false"/>
          <w:smallCaps w:val="false"/>
          <w:sz w:val="20"/>
        </w:rPr>
        <w:t>Section 7.11 Acceptance of Appointment By Successor.</w:t>
      </w:r>
    </w:p>
    <w:p>
      <w:pPr>
        <w:pStyle w:val="TextBody"/>
        <w:bidi w:val="0"/>
        <w:ind w:left="0" w:right="0" w:firstLine="720"/>
        <w:jc w:val="left"/>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(a) </w:t>
      </w:r>
      <w:r>
        <w:rPr>
          <w:rFonts w:ascii="Times New Roman;Times;Serif" w:hAnsi="Times New Roman;Times;Serif"/>
          <w:b w:val="false"/>
          <w:i w:val="false"/>
          <w:caps w:val="false"/>
          <w:smallCaps w:val="false"/>
          <w:sz w:val="20"/>
        </w:rPr>
        <w:t>In case of the appointment hereunder of a successor trustee with respect to all Securities, every such successor trustee so appointed shall execute, acknowledge and deliver to the Company and to the retiring Trustee an instrument accepting such appointment, and thereupon the resignation or removal of the retiring Trustee shall become effective and such successor trustee, without any further act, deed or conveyance, shall become vested with all the rights, powers, trusts and duties of the retiring Trustee; but, on the request of the Company or the successor trustee, such retiring Trustee shall, upon payment of its charges, execute and deliver an instrument transferring to such successor trustee all the rights, powers, and trusts of the retiring Trustee and shall duly assign, transfer and deliver to such successor trustee all property and money held by such retiring Trustee hereunder.</w:t>
      </w:r>
    </w:p>
    <w:p>
      <w:pPr>
        <w:pStyle w:val="TextBody"/>
        <w:bidi w:val="0"/>
        <w:ind w:left="0" w:right="0" w:firstLine="720"/>
        <w:jc w:val="left"/>
        <w:rPr>
          <w:caps w:val="false"/>
          <w:smallCaps w:val="false"/>
        </w:rPr>
      </w:pPr>
      <w:r>
        <w:rPr>
          <w:caps w:val="false"/>
          <w:smallCaps w:val="false"/>
        </w:rPr>
        <w:t> </w:t>
      </w:r>
    </w:p>
    <w:p>
      <w:pPr>
        <w:pStyle w:val="TextBody"/>
        <w:bidi w:val="0"/>
        <w:spacing w:before="0" w:after="0"/>
        <w:ind w:left="0" w:right="0" w:firstLine="720"/>
        <w:jc w:val="center"/>
        <w:rPr>
          <w:bdr w:val="single" w:sz="12" w:space="1" w:color="000000"/>
        </w:rPr>
      </w:pPr>
      <w:r>
        <w:rPr>
          <w:bdr w:val="single" w:sz="12" w:space="1" w:color="000000"/>
        </w:rPr>
        <w:t>32</w:t>
      </w:r>
    </w:p>
    <w:p>
      <w:pPr>
        <w:pStyle w:val="TextBody"/>
        <w:bidi w:val="0"/>
        <w:spacing w:before="0" w:after="0"/>
        <w:ind w:left="0" w:right="0" w:hanging="0"/>
        <w:jc w:val="left"/>
        <w:rPr/>
      </w:pPr>
      <w:r>
        <w:rPr/>
        <w:t> </w:t>
      </w:r>
    </w:p>
    <w:p>
      <w:pPr>
        <w:pStyle w:val="TextBody"/>
        <w:bidi w:val="0"/>
        <w:ind w:left="0" w:right="0" w:firstLine="720"/>
        <w:jc w:val="left"/>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(b) </w:t>
      </w:r>
      <w:r>
        <w:rPr>
          <w:rFonts w:ascii="Times New Roman;Times;Serif" w:hAnsi="Times New Roman;Times;Serif"/>
          <w:b w:val="false"/>
          <w:i w:val="false"/>
          <w:caps w:val="false"/>
          <w:smallCaps w:val="false"/>
          <w:sz w:val="20"/>
        </w:rPr>
        <w:t>In case of the appointment hereunder of a successor trustee with respect to the Securities of one or more (but not all) series, the Company, the retiring Trustee and each successor trustee with respect to the Securities of one or more series shall execute and deliver an indenture supplemental hereto wherein each successor trustee shall accept such appointment and which (i) shall contain such provisions as shall be necessary or desirable to transfer and confirm to, and to vest in, each successor trustee all the rights, powers, trusts and duties of the retiring Trustee with respect to the Securities of that or those series to which the appointment of such successor trustee relates, (ii) shall contain such provisions as shall be deemed necessary or desirable to confirm that all the rights, powers, trusts and duties of the retiring Trustee with respect to the Securities of that or those series as to which the retiring Trustee is not retiring shall continue to be vested in the retiring Trustee, and (iii) shall add to or change any of the provisions of this Indenture as shall be necessary to provide for or facilitate the administration of the trusts hereunder by more than one Trustee, it being understood that nothing herein or in such supplemental indenture shall constitute such Trustees co-trustees of the same trust, that each such Trustee shall be trustee of a trust or trusts hereunder separate and apart from any trust or trusts hereunder administered by any other such Trustee and that no Trustee shall be responsible for any act or failure to act on the part of any other Trustee hereunder; and upon the execution and delivery of such supplemental indenture the resignation or removal of the retiring Trustee shall become effective to the extent provided therein, such retiring Trustee shall with respect to the Securities of that or those series to which the appointment of such successor trustee relates have no further responsibility for the exercise of rights and powers or for the performance of the duties and obligations vested in the Trustee under this Indenture, and each such successor trustee, without any further act, deed or conveyance, shall become vested with all the rights, powers, trusts and duties of the retiring Trustee with respect to the Securities of that or those series to which the appointment of such successor trustee relates; but, on request of the Company or any successor trustee, such retiring Trustee shall duly assign, transfer and deliver to such successor trustee, to the extent contemplated by such supplemental indenture, the property and money held by such retiring Trustee hereunder with respect to the Securities of that or those series to which the appointment of such successor trustee relates.</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(c) </w:t>
      </w:r>
      <w:r>
        <w:rPr>
          <w:rFonts w:ascii="Times New Roman;Times;Serif" w:hAnsi="Times New Roman;Times;Serif"/>
          <w:b w:val="false"/>
          <w:i w:val="false"/>
          <w:caps w:val="false"/>
          <w:smallCaps w:val="false"/>
          <w:sz w:val="20"/>
        </w:rPr>
        <w:t>Upon request of any such successor trustee, the Company shall execute any and all instruments for more fully and certainly vesting in and confirming to such successor trustee all such rights, powers and trusts referred to in paragraph (a) or (b) of this Section, as the case may be.</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(d) </w:t>
      </w:r>
      <w:r>
        <w:rPr>
          <w:rFonts w:ascii="Times New Roman;Times;Serif" w:hAnsi="Times New Roman;Times;Serif"/>
          <w:b w:val="false"/>
          <w:i w:val="false"/>
          <w:caps w:val="false"/>
          <w:smallCaps w:val="false"/>
          <w:sz w:val="20"/>
        </w:rPr>
        <w:t>No successor trustee shall accept its appointment unless at the time of such acceptance such successor trustee shall be qualified and eligible under this Article.</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(e) </w:t>
      </w:r>
      <w:r>
        <w:rPr>
          <w:rFonts w:ascii="Times New Roman;Times;Serif" w:hAnsi="Times New Roman;Times;Serif"/>
          <w:b w:val="false"/>
          <w:i w:val="false"/>
          <w:caps w:val="false"/>
          <w:smallCaps w:val="false"/>
          <w:sz w:val="20"/>
        </w:rPr>
        <w:t>Upon acceptance of appointment by a successor trustee as provided in this Section, the Company shall transmit notice of the succession of such trustee hereunder by mail, first class postage prepaid, to the Securityholders, as their names and addresses appear upon the Security Register. If the Company fails to transmit such notice within ten days after acceptance of appointment by the successor trustee, the successor trustee shall cause such notice to be transmitted at the expense of the Company.</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bookmarkStart w:id="69" w:name="a_053"/>
      <w:bookmarkEnd w:id="69"/>
      <w:r>
        <w:rPr>
          <w:rFonts w:ascii="Times New Roman;Times;Serif" w:hAnsi="Times New Roman;Times;Serif"/>
          <w:b/>
          <w:i w:val="false"/>
          <w:caps w:val="false"/>
          <w:smallCaps w:val="false"/>
          <w:sz w:val="20"/>
        </w:rPr>
        <w:t>Section 7.12 Merger, Conversion, Consolidation or Succession to Business.</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corporation into which the Trustee may be merged or converted or with which it may be consolidated, or any corporation resulting from any merger, conversion or consolidation to which the Trustee shall be a party, or any corporation succeeding to the corporate trust business of the Trustee, shall be the successor of the Trustee hereunder, provided that such corporation shall be qualified under the provisions of Section 7.08 and eligible under the provisions of Section 7.09, without the execution or filing of any paper or any further act on the part of any of the parties hereto, anything herein to the contrary notwithstanding. In case any Securities shall have been authenticated, but not delivered, by the Trustee then in office, any successor by merger, conversion or consolidation to such authenticating Trustee may adopt such authentication and deliver the Securities so authenticated with the same effect as if such successor Trustee had itself authenticated such Securities.</w:t>
      </w:r>
    </w:p>
    <w:p>
      <w:pPr>
        <w:pStyle w:val="TextBody"/>
        <w:bidi w:val="0"/>
        <w:jc w:val="both"/>
        <w:rPr>
          <w:caps w:val="false"/>
          <w:smallCaps w:val="false"/>
        </w:rPr>
      </w:pPr>
      <w:r>
        <w:rPr>
          <w:caps w:val="false"/>
          <w:smallCaps w:val="false"/>
        </w:rPr>
        <w:t> </w:t>
      </w:r>
    </w:p>
    <w:p>
      <w:pPr>
        <w:pStyle w:val="TextBody"/>
        <w:bidi w:val="0"/>
        <w:spacing w:before="0" w:after="0"/>
        <w:jc w:val="center"/>
        <w:rPr>
          <w:bdr w:val="single" w:sz="12" w:space="1" w:color="000000"/>
        </w:rPr>
      </w:pPr>
      <w:r>
        <w:rPr>
          <w:bdr w:val="single" w:sz="12" w:space="1" w:color="000000"/>
        </w:rPr>
        <w:t>33</w:t>
      </w:r>
    </w:p>
    <w:p>
      <w:pPr>
        <w:pStyle w:val="TextBody"/>
        <w:bidi w:val="0"/>
        <w:spacing w:before="0" w:after="0"/>
        <w:ind w:left="0" w:right="0" w:hanging="0"/>
        <w:jc w:val="left"/>
        <w:rPr/>
      </w:pPr>
      <w:r>
        <w:rPr/>
        <w:t> </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bookmarkStart w:id="70" w:name="a_054"/>
      <w:bookmarkEnd w:id="70"/>
      <w:r>
        <w:rPr>
          <w:rFonts w:ascii="Times New Roman;Times;Serif" w:hAnsi="Times New Roman;Times;Serif"/>
          <w:b/>
          <w:i w:val="false"/>
          <w:caps w:val="false"/>
          <w:smallCaps w:val="false"/>
          <w:sz w:val="20"/>
        </w:rPr>
        <w:t>Section 7.13 Preferential Collection of Claims Against the Company.</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Trustee shall comply with Section 311(a) of the Trust Indenture Act, excluding any creditor relationship described in Section 311(b) of the Trust Indenture Act. A Trustee who has resigned or been removed shall be subject to Section 311(a) of the Trust Indenture Act to the extent included therein.</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bookmarkStart w:id="71" w:name="a_055"/>
      <w:bookmarkEnd w:id="71"/>
      <w:r>
        <w:rPr>
          <w:rFonts w:ascii="Times New Roman;Times;Serif" w:hAnsi="Times New Roman;Times;Serif"/>
          <w:b/>
          <w:i w:val="false"/>
          <w:caps w:val="false"/>
          <w:smallCaps w:val="false"/>
          <w:sz w:val="20"/>
        </w:rPr>
        <w:t>Section 7.14 Notice of Default</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any Default or any Event of Default occurs and is continuing and if such Default or Event of Default is known to a Responsible Officer of the Trustee, the Trustee shall mail to each Securityholder in the manner and to the extent provided in Section 313(c) of the Trust Indenture Act notice of the Default or Event of Default within 45 days after it occurs and becomes known to the Trustee, unless such Default or Event of Default has been cured; </w:t>
      </w:r>
      <w:r>
        <w:rPr>
          <w:rFonts w:ascii="Times New Roman;Times;Serif" w:hAnsi="Times New Roman;Times;Serif"/>
          <w:b w:val="false"/>
          <w:i/>
          <w:caps w:val="false"/>
          <w:smallCaps w:val="false"/>
          <w:sz w:val="20"/>
        </w:rPr>
        <w:t>provided, however</w:t>
      </w:r>
      <w:r>
        <w:rPr>
          <w:rFonts w:ascii="Times New Roman;Times;Serif" w:hAnsi="Times New Roman;Times;Serif"/>
          <w:b w:val="false"/>
          <w:i w:val="false"/>
          <w:caps w:val="false"/>
          <w:smallCaps w:val="false"/>
          <w:sz w:val="20"/>
        </w:rPr>
        <w:t>, that, except in the case of a default in the payment of the principal of (or premium, if any) or interest on any Security, the Trustee shall be protected in withholding such notice if and so long as the board of directors, the executive committee or a trust committee of directors and/or Responsible Officers of the Trustee in good faith determine that the withholding of such notice is in the interest of the Securityholders.</w:t>
      </w:r>
    </w:p>
    <w:p>
      <w:pPr>
        <w:pStyle w:val="TextBody"/>
        <w:bidi w:val="0"/>
        <w:jc w:val="center"/>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0"/>
        </w:rPr>
      </w:pPr>
      <w:bookmarkStart w:id="72" w:name="a_056"/>
      <w:bookmarkEnd w:id="72"/>
      <w:r>
        <w:rPr>
          <w:rFonts w:ascii="Times New Roman;Times;Serif" w:hAnsi="Times New Roman;Times;Serif"/>
          <w:b/>
          <w:i w:val="false"/>
          <w:caps w:val="false"/>
          <w:smallCaps w:val="false"/>
          <w:sz w:val="20"/>
        </w:rPr>
        <w:t>ARTICLE 8</w:t>
      </w:r>
    </w:p>
    <w:p>
      <w:pPr>
        <w:pStyle w:val="TextBody"/>
        <w:bidi w:val="0"/>
        <w:jc w:val="center"/>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CONCERNING THE SECURITYHOLDERS</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bookmarkStart w:id="73" w:name="a_057"/>
      <w:bookmarkEnd w:id="73"/>
      <w:r>
        <w:rPr>
          <w:rFonts w:ascii="Times New Roman;Times;Serif" w:hAnsi="Times New Roman;Times;Serif"/>
          <w:b/>
          <w:i w:val="false"/>
          <w:caps w:val="false"/>
          <w:smallCaps w:val="false"/>
          <w:sz w:val="20"/>
        </w:rPr>
        <w:t>Section 8.01 Evidence of Action by Securityholders.</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Whenever in this Indenture it is provided that the holders of a majority or specified percentage in aggregate principal amount of the Securities of a particular series may take any action (including the making of any demand or request, the giving of any notice, consent or waiver or the taking of any other action), the fact that at the time of taking any such action the holders of such majority or specified percentage of that series have joined therein may be evidenced by any instrument or any number of instruments of similar tenor executed by such holders of Securities of that series in person or by agent or proxy appointed in writing.</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Company shall solicit from the Securityholders of any series any request, demand, authorization, direction, notice, consent, waiver or other action, the Company may, at its option, as evidenced by an Officers’ Certificate, fix in advance a record date for such series for the determination of Securityholders entitled to give such request, demand, authorization, direction, notice, consent, waiver or other action, but the Company shall have no obligation to do so. If such a record date is fixed, such request, demand, authorization, direction, notice, consent, waiver or other action may be given before or after the record date, but only the Securityholders of record at the close of business on the record date shall be deemed to be Securityholders for the purposes of determining whether Securityholders of the requisite proportion of Outstanding Securities of that series have authorized or agreed or consented to such request, demand, authorization, direction, notice, consent, waiver or other action, and for that purpose the Outstanding Securities of that series shall be computed as of the record date; provided, however, that no such authorization, agreement or consent by such Securityholders on the record date shall be deemed effective unless it shall become effective pursuant to the provisions of this Indenture not later than six months after the record date.</w:t>
      </w:r>
    </w:p>
    <w:p>
      <w:pPr>
        <w:pStyle w:val="TextBody"/>
        <w:bidi w:val="0"/>
        <w:jc w:val="both"/>
        <w:rPr>
          <w:caps w:val="false"/>
          <w:smallCaps w:val="false"/>
        </w:rPr>
      </w:pPr>
      <w:r>
        <w:rPr>
          <w:caps w:val="false"/>
          <w:smallCaps w:val="false"/>
        </w:rPr>
        <w:t> </w:t>
      </w:r>
    </w:p>
    <w:p>
      <w:pPr>
        <w:pStyle w:val="TextBody"/>
        <w:bidi w:val="0"/>
        <w:spacing w:before="0" w:after="0"/>
        <w:jc w:val="center"/>
        <w:rPr>
          <w:bdr w:val="single" w:sz="12" w:space="1" w:color="000000"/>
        </w:rPr>
      </w:pPr>
      <w:r>
        <w:rPr>
          <w:bdr w:val="single" w:sz="12" w:space="1" w:color="000000"/>
        </w:rPr>
        <w:t>34</w:t>
      </w:r>
    </w:p>
    <w:p>
      <w:pPr>
        <w:pStyle w:val="TextBody"/>
        <w:bidi w:val="0"/>
        <w:spacing w:before="0" w:after="0"/>
        <w:ind w:left="0" w:right="0" w:hanging="0"/>
        <w:jc w:val="left"/>
        <w:rPr/>
      </w:pPr>
      <w:r>
        <w:rPr/>
        <w:t> </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bookmarkStart w:id="74" w:name="a_058"/>
      <w:bookmarkEnd w:id="74"/>
      <w:r>
        <w:rPr>
          <w:rFonts w:ascii="Times New Roman;Times;Serif" w:hAnsi="Times New Roman;Times;Serif"/>
          <w:b/>
          <w:i w:val="false"/>
          <w:caps w:val="false"/>
          <w:smallCaps w:val="false"/>
          <w:sz w:val="20"/>
        </w:rPr>
        <w:t>Section 8.02 Proof of Execution by Securityholders.</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Subject to the provisions of Section 7.01, proof of the execution of any instrument by a Securityholder (such proof will not require notarization) or his agent or proxy and proof of the holding by any Person of any of the Securities shall be sufficient if made in the following manner:</w:t>
      </w:r>
    </w:p>
    <w:p>
      <w:pPr>
        <w:pStyle w:val="TextBody"/>
        <w:bidi w:val="0"/>
        <w:ind w:left="0" w:right="0" w:firstLine="720"/>
        <w:jc w:val="left"/>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(a) </w:t>
      </w:r>
      <w:r>
        <w:rPr>
          <w:rFonts w:ascii="Times New Roman;Times;Serif" w:hAnsi="Times New Roman;Times;Serif"/>
          <w:b w:val="false"/>
          <w:i w:val="false"/>
          <w:caps w:val="false"/>
          <w:smallCaps w:val="false"/>
          <w:sz w:val="20"/>
        </w:rPr>
        <w:t>The fact and date of the execution by any such Person of any instrument may be proved in any reasonable manner acceptable to the Trustee.</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(b) </w:t>
      </w:r>
      <w:r>
        <w:rPr>
          <w:rFonts w:ascii="Times New Roman;Times;Serif" w:hAnsi="Times New Roman;Times;Serif"/>
          <w:b w:val="false"/>
          <w:i w:val="false"/>
          <w:caps w:val="false"/>
          <w:smallCaps w:val="false"/>
          <w:sz w:val="20"/>
        </w:rPr>
        <w:t>The ownership of Securities shall be proved by the Security Register of such Securities or by a certificate of the Security Registrar thereof.</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Trustee may require such additional proof of any matter referred to in this Section as it shall deem necessary.</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bookmarkStart w:id="75" w:name="a_059"/>
      <w:bookmarkEnd w:id="75"/>
      <w:r>
        <w:rPr>
          <w:rFonts w:ascii="Times New Roman;Times;Serif" w:hAnsi="Times New Roman;Times;Serif"/>
          <w:b/>
          <w:i w:val="false"/>
          <w:caps w:val="false"/>
          <w:smallCaps w:val="false"/>
          <w:sz w:val="20"/>
        </w:rPr>
        <w:t>Section 8.03 Who May be Deemed Owners.</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Prior to the due presentment for registration of transfer of any Security, the Company, the Trustee, any paying agent and any Security Registrar may deem and treat the Person in whose name such Security shall be registered upon the books of the Company as the absolute owner of such Security (whether or not such Security shall be overdue and notwithstanding any notice of ownership or writing thereon made by anyone other than the Security Registrar) for the purpose of receiving payment of or on account of the principal of, premium, if any, and (subject to Section 2.03) interest on such Security and for all other purposes; and neither the Company nor the Trustee nor any paying agent nor any Security Registrar shall be affected by any notice to the contrary.</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bookmarkStart w:id="76" w:name="a_060"/>
      <w:bookmarkEnd w:id="76"/>
      <w:r>
        <w:rPr>
          <w:rFonts w:ascii="Times New Roman;Times;Serif" w:hAnsi="Times New Roman;Times;Serif"/>
          <w:b/>
          <w:i w:val="false"/>
          <w:caps w:val="false"/>
          <w:smallCaps w:val="false"/>
          <w:sz w:val="20"/>
        </w:rPr>
        <w:t>Section 8.04 Certain Securities Owned by Company Disregarded.</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determining whether the holders of the requisite aggregate principal amount of Securities of a particular series have concurred in any direction, consent or waiver under this Indenture, the Securities of that series that are owned by the Company or any other obligor on the Securities of that series or by any Person directly or indirectly controlling or controlled by or under common control with the Company or any other obligor on the Securities of that series shall be disregarded and deemed not to be Outstanding for the purpose of any such determination, except that for the purpose of determining whether the Trustee shall be protected in relying on any such direction, consent or waiver, only Securities of such series that the Trustee actually knows are so owned shall be so disregarded. The Securities so owned that have been pledged in good faith may be regarded as Outstanding for the purposes of this Section, if the pledgee shall establish to the satisfaction of the Trustee the pledgee’s right so to act with respect to such Securities and that the pledgee is not a Person directly or indirectly controlling or controlled by or under direct or indirect common control with the Company or any such other obligor. In case of a dispute as to such right, any decision by the Trustee taken upon the advice of counsel shall be full protection to the Trustee.</w:t>
      </w:r>
    </w:p>
    <w:p>
      <w:pPr>
        <w:pStyle w:val="TextBody"/>
        <w:bidi w:val="0"/>
        <w:jc w:val="both"/>
        <w:rPr>
          <w:caps w:val="false"/>
          <w:smallCaps w:val="false"/>
        </w:rPr>
      </w:pPr>
      <w:r>
        <w:rPr>
          <w:caps w:val="false"/>
          <w:smallCaps w:val="false"/>
        </w:rPr>
        <w:t> </w:t>
      </w:r>
    </w:p>
    <w:p>
      <w:pPr>
        <w:pStyle w:val="TextBody"/>
        <w:bidi w:val="0"/>
        <w:spacing w:before="0" w:after="0"/>
        <w:jc w:val="center"/>
        <w:rPr>
          <w:bdr w:val="single" w:sz="12" w:space="1" w:color="000000"/>
        </w:rPr>
      </w:pPr>
      <w:r>
        <w:rPr>
          <w:bdr w:val="single" w:sz="12" w:space="1" w:color="000000"/>
        </w:rPr>
        <w:t>35</w:t>
      </w:r>
    </w:p>
    <w:p>
      <w:pPr>
        <w:pStyle w:val="TextBody"/>
        <w:bidi w:val="0"/>
        <w:spacing w:before="0" w:after="0"/>
        <w:ind w:left="0" w:right="0" w:hanging="0"/>
        <w:jc w:val="left"/>
        <w:rPr/>
      </w:pPr>
      <w:r>
        <w:rPr/>
        <w:t> </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bookmarkStart w:id="77" w:name="a_061"/>
      <w:bookmarkEnd w:id="77"/>
      <w:r>
        <w:rPr>
          <w:rFonts w:ascii="Times New Roman;Times;Serif" w:hAnsi="Times New Roman;Times;Serif"/>
          <w:b/>
          <w:i w:val="false"/>
          <w:caps w:val="false"/>
          <w:smallCaps w:val="false"/>
          <w:sz w:val="20"/>
        </w:rPr>
        <w:t>Section 8.05 Actions Binding on Future Securityholders.</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 any time prior to (but not after) the evidencing to the Trustee, as provided in Section 8.01, of the taking of any action by the holders of the majority or percentage in aggregate principal amount of the Securities of a particular series specified in this Indenture in connection with such action, any holder of a Security of that series that is shown by the evidence to be included in the Securities the holders of which have consented to such action may, by filing written notice with the Trustee, and upon proof of holding as provided in Section 8.02, revoke such action so far as concerns such Security. Except as aforesaid any such action taken by the holder of any Security shall be conclusive and binding upon such holder and upon all future holders and owners of such Security, and of any Security issued in exchange therefor, on registration of transfer thereof or in place thereof, irrespective of whether or not any notation in regard thereto is made upon such Security. Any action taken by the holders of the majority or percentage in aggregate principal amount of the Securities of a particular series specified in this</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Indenture in connection with such action shall be conclusively binding upon the Company, the Trustee and the holders of all the Securities of that series.</w:t>
      </w:r>
    </w:p>
    <w:p>
      <w:pPr>
        <w:pStyle w:val="TextBody"/>
        <w:bidi w:val="0"/>
        <w:jc w:val="center"/>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0"/>
        </w:rPr>
      </w:pPr>
      <w:bookmarkStart w:id="78" w:name="a_062"/>
      <w:bookmarkEnd w:id="78"/>
      <w:r>
        <w:rPr>
          <w:rFonts w:ascii="Times New Roman;Times;Serif" w:hAnsi="Times New Roman;Times;Serif"/>
          <w:b/>
          <w:i w:val="false"/>
          <w:caps w:val="false"/>
          <w:smallCaps w:val="false"/>
          <w:sz w:val="20"/>
        </w:rPr>
        <w:t>ARTICLE 9</w:t>
      </w:r>
    </w:p>
    <w:p>
      <w:pPr>
        <w:pStyle w:val="TextBody"/>
        <w:bidi w:val="0"/>
        <w:jc w:val="center"/>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SUPPLEMENTAL INDENTURES</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bookmarkStart w:id="79" w:name="a_063"/>
      <w:bookmarkEnd w:id="79"/>
      <w:r>
        <w:rPr>
          <w:rFonts w:ascii="Times New Roman;Times;Serif" w:hAnsi="Times New Roman;Times;Serif"/>
          <w:b/>
          <w:i w:val="false"/>
          <w:caps w:val="false"/>
          <w:smallCaps w:val="false"/>
          <w:sz w:val="20"/>
        </w:rPr>
        <w:t>Section 9.01 Supplemental Indentures Without the Consent of Securityholders.</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to any supplemental indenture otherwise authorized by this Indenture, the Company and the Trustee may from time to time and at any time enter into an indenture or indentures supplemental hereto (which shall conform to the provisions of the Trust Indenture Act as then in effect), without the consent of the Securityholders, for one or more of the following purposes:</w:t>
      </w:r>
    </w:p>
    <w:p>
      <w:pPr>
        <w:pStyle w:val="TextBody"/>
        <w:bidi w:val="0"/>
        <w:ind w:left="0" w:right="0" w:firstLine="720"/>
        <w:jc w:val="left"/>
        <w:rPr>
          <w:caps w:val="false"/>
          <w:smallCaps w:val="false"/>
        </w:rPr>
      </w:pPr>
      <w:r>
        <w:rPr>
          <w:caps w:val="false"/>
          <w:smallCaps w:val="false"/>
        </w:rPr>
        <w:t> </w:t>
      </w:r>
    </w:p>
    <w:p>
      <w:pPr>
        <w:pStyle w:val="TextBody"/>
        <w:bidi w:val="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(a) </w:t>
      </w:r>
      <w:r>
        <w:rPr>
          <w:rFonts w:ascii="Times New Roman;Times;Serif" w:hAnsi="Times New Roman;Times;Serif"/>
          <w:b w:val="false"/>
          <w:i w:val="false"/>
          <w:caps w:val="false"/>
          <w:smallCaps w:val="false"/>
          <w:sz w:val="20"/>
        </w:rPr>
        <w:t>to cure any ambiguity, defect, or inconsistency herein or in the Securities of any series;</w:t>
      </w:r>
    </w:p>
    <w:p>
      <w:pPr>
        <w:pStyle w:val="TextBody"/>
        <w:bidi w:val="0"/>
        <w:ind w:left="0" w:right="0" w:firstLine="720"/>
        <w:jc w:val="left"/>
        <w:rPr>
          <w:caps w:val="false"/>
          <w:smallCaps w:val="false"/>
        </w:rPr>
      </w:pPr>
      <w:r>
        <w:rPr>
          <w:caps w:val="false"/>
          <w:smallCaps w:val="false"/>
        </w:rPr>
        <w:t> </w:t>
      </w:r>
    </w:p>
    <w:p>
      <w:pPr>
        <w:pStyle w:val="TextBody"/>
        <w:bidi w:val="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(b) </w:t>
      </w:r>
      <w:r>
        <w:rPr>
          <w:rFonts w:ascii="Times New Roman;Times;Serif" w:hAnsi="Times New Roman;Times;Serif"/>
          <w:b w:val="false"/>
          <w:i w:val="false"/>
          <w:caps w:val="false"/>
          <w:smallCaps w:val="false"/>
          <w:sz w:val="20"/>
        </w:rPr>
        <w:t>to comply with Article Ten;</w:t>
      </w:r>
    </w:p>
    <w:p>
      <w:pPr>
        <w:pStyle w:val="TextBody"/>
        <w:bidi w:val="0"/>
        <w:ind w:left="0" w:right="0" w:firstLine="720"/>
        <w:jc w:val="left"/>
        <w:rPr>
          <w:caps w:val="false"/>
          <w:smallCaps w:val="false"/>
        </w:rPr>
      </w:pPr>
      <w:r>
        <w:rPr>
          <w:caps w:val="false"/>
          <w:smallCaps w:val="false"/>
        </w:rPr>
        <w:t> </w:t>
      </w:r>
    </w:p>
    <w:p>
      <w:pPr>
        <w:pStyle w:val="TextBody"/>
        <w:bidi w:val="0"/>
        <w:spacing w:before="0" w:after="0"/>
        <w:ind w:left="0" w:right="0" w:firstLine="720"/>
        <w:jc w:val="center"/>
        <w:rPr>
          <w:bdr w:val="single" w:sz="12" w:space="1" w:color="000000"/>
        </w:rPr>
      </w:pPr>
      <w:r>
        <w:rPr>
          <w:bdr w:val="single" w:sz="12" w:space="1" w:color="000000"/>
        </w:rPr>
        <w:t>36</w:t>
      </w:r>
    </w:p>
    <w:p>
      <w:pPr>
        <w:pStyle w:val="TextBody"/>
        <w:bidi w:val="0"/>
        <w:spacing w:before="0" w:after="0"/>
        <w:ind w:left="0" w:right="0" w:hanging="0"/>
        <w:jc w:val="left"/>
        <w:rPr/>
      </w:pPr>
      <w:r>
        <w:rPr/>
        <w:t> </w:t>
      </w:r>
    </w:p>
    <w:p>
      <w:pPr>
        <w:pStyle w:val="TextBody"/>
        <w:bidi w:val="0"/>
        <w:ind w:left="0" w:right="0" w:firstLine="720"/>
        <w:jc w:val="left"/>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(c) </w:t>
      </w:r>
      <w:r>
        <w:rPr>
          <w:rFonts w:ascii="Times New Roman;Times;Serif" w:hAnsi="Times New Roman;Times;Serif"/>
          <w:b w:val="false"/>
          <w:i w:val="false"/>
          <w:caps w:val="false"/>
          <w:smallCaps w:val="false"/>
          <w:sz w:val="20"/>
        </w:rPr>
        <w:t>to provide for uncertificated Securities in addition to or in place of certificated Securities and to make all appropriate changes for such purpose;</w:t>
      </w:r>
    </w:p>
    <w:p>
      <w:pPr>
        <w:pStyle w:val="TextBody"/>
        <w:bidi w:val="0"/>
        <w:ind w:left="0" w:right="0" w:firstLine="720"/>
        <w:jc w:val="left"/>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(d) </w:t>
      </w:r>
      <w:r>
        <w:rPr>
          <w:rFonts w:ascii="Times New Roman;Times;Serif" w:hAnsi="Times New Roman;Times;Serif"/>
          <w:b w:val="false"/>
          <w:i w:val="false"/>
          <w:caps w:val="false"/>
          <w:smallCaps w:val="false"/>
          <w:sz w:val="20"/>
        </w:rPr>
        <w:t>to add to the covenants, restrictions, conditions or provisions relating to the Company for the benefit of the holders of all or any series of Securities (and if such covenants, restrictions, conditions or provisions are to be for the benefit of less than all series of Securities, stating that such covenants, restrictions, conditions or provisions are expressly being included solely for the benefit of such series), to make the occurrence, or the occurrence and the continuance, of a default in any such additional covenants, restrictions, conditions or provisions an Event of Default, or to surrender any right or power herein conferred upon the Company;</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(e) </w:t>
      </w:r>
      <w:r>
        <w:rPr>
          <w:rFonts w:ascii="Times New Roman;Times;Serif" w:hAnsi="Times New Roman;Times;Serif"/>
          <w:b w:val="false"/>
          <w:i w:val="false"/>
          <w:caps w:val="false"/>
          <w:smallCaps w:val="false"/>
          <w:sz w:val="20"/>
        </w:rPr>
        <w:t>to add to, delete from, or revise the conditions, limitations, and restrictions on the authorized amount, terms, or purposes of issue, authentication, and delivery of Securities, as herein set forth;</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(f) </w:t>
      </w:r>
      <w:r>
        <w:rPr>
          <w:rFonts w:ascii="Times New Roman;Times;Serif" w:hAnsi="Times New Roman;Times;Serif"/>
          <w:b w:val="false"/>
          <w:i w:val="false"/>
          <w:caps w:val="false"/>
          <w:smallCaps w:val="false"/>
          <w:sz w:val="20"/>
        </w:rPr>
        <w:t>to make any change that does not adversely affect the rights of any Securityholder in any material respect;</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(g) </w:t>
      </w:r>
      <w:r>
        <w:rPr>
          <w:rFonts w:ascii="Times New Roman;Times;Serif" w:hAnsi="Times New Roman;Times;Serif"/>
          <w:b w:val="false"/>
          <w:i w:val="false"/>
          <w:caps w:val="false"/>
          <w:smallCaps w:val="false"/>
          <w:sz w:val="20"/>
        </w:rPr>
        <w:t>to provide for the issuance of and establish the form and terms and conditions of the Securities of any series as provided in Section 2.01, to establish the form of any certifications required to be furnished pursuant to the terms of this Indenture or any series of Securities, or to add to the rights of the holders of any series of Securities;</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(h) </w:t>
      </w:r>
      <w:r>
        <w:rPr>
          <w:rFonts w:ascii="Times New Roman;Times;Serif" w:hAnsi="Times New Roman;Times;Serif"/>
          <w:b w:val="false"/>
          <w:i w:val="false"/>
          <w:caps w:val="false"/>
          <w:smallCaps w:val="false"/>
          <w:sz w:val="20"/>
        </w:rPr>
        <w:t>to evidence and provide for the acceptance of appointment hereunder by a successor trustee; or</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(i) </w:t>
      </w:r>
      <w:r>
        <w:rPr>
          <w:rFonts w:ascii="Times New Roman;Times;Serif" w:hAnsi="Times New Roman;Times;Serif"/>
          <w:b w:val="false"/>
          <w:i w:val="false"/>
          <w:caps w:val="false"/>
          <w:smallCaps w:val="false"/>
          <w:sz w:val="20"/>
        </w:rPr>
        <w:t>to comply with any requirements of the Securities and Exchange Commission or any successor in connection with the qualification of this Indenture under the Trust Indenture Act.</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Trustee is hereby authorized to join with the Company in the execution of any such supplemental indenture, and to make any further appropriate agreements and stipulations that may be therein contained, but the Trustee shall not be obligated to enter into any such supplemental indenture that affects the Trustee’s own rights, duties or immunities under this Indenture or otherwise.</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supplemental indenture authorized by the provisions of this Section may be executed by the Company and the Trustee without the consent of the holders of any of the Securities at the time Outstanding, notwithstanding any of the provisions of Section 9.02.</w:t>
      </w:r>
    </w:p>
    <w:p>
      <w:pPr>
        <w:pStyle w:val="TextBody"/>
        <w:bidi w:val="0"/>
        <w:jc w:val="both"/>
        <w:rPr>
          <w:caps w:val="false"/>
          <w:smallCaps w:val="false"/>
        </w:rPr>
      </w:pPr>
      <w:r>
        <w:rPr>
          <w:caps w:val="false"/>
          <w:smallCaps w:val="false"/>
        </w:rPr>
        <w:t> </w:t>
      </w:r>
    </w:p>
    <w:p>
      <w:pPr>
        <w:pStyle w:val="TextBody"/>
        <w:bidi w:val="0"/>
        <w:spacing w:before="0" w:after="0"/>
        <w:jc w:val="center"/>
        <w:rPr>
          <w:bdr w:val="single" w:sz="12" w:space="1" w:color="000000"/>
        </w:rPr>
      </w:pPr>
      <w:r>
        <w:rPr>
          <w:bdr w:val="single" w:sz="12" w:space="1" w:color="000000"/>
        </w:rPr>
        <w:t>37</w:t>
      </w:r>
    </w:p>
    <w:p>
      <w:pPr>
        <w:pStyle w:val="TextBody"/>
        <w:bidi w:val="0"/>
        <w:spacing w:before="0" w:after="0"/>
        <w:ind w:left="0" w:right="0" w:hanging="0"/>
        <w:jc w:val="left"/>
        <w:rPr/>
      </w:pPr>
      <w:r>
        <w:rPr/>
        <w:t> </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bookmarkStart w:id="80" w:name="a_064"/>
      <w:bookmarkEnd w:id="80"/>
      <w:r>
        <w:rPr>
          <w:rFonts w:ascii="Times New Roman;Times;Serif" w:hAnsi="Times New Roman;Times;Serif"/>
          <w:b/>
          <w:i w:val="false"/>
          <w:caps w:val="false"/>
          <w:smallCaps w:val="false"/>
          <w:sz w:val="20"/>
        </w:rPr>
        <w:t>Section 9.02 Supplemental Indentures With Consent of Securityholders.</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With the consent (evidenced as provided in Section 8.01) of the holders of not less than a majority in aggregate principal amount of the Securities of each series affected by such supplemental indenture or indentures at the time Outstanding, the Company, when authorized by a Board Resolution, and the Trustee may from time to time and at any time enter into an indenture or indentures supplemental hereto (which shall conform to the provisions of the Trust Indenture Act as then in effect) for the purpose of adding any provisions to or changing in any manner or eliminating any of the provisions of this Indenture or of any supplemental indenture or of modifying in any manner not covered by Section 9.01 the rights of the holders of the Securities of such series under this Indenture; provided, however, that no such supplemental indenture shall, without the consent of the holders of each Security of the series affected by such supplement indenture then Outstanding and affected thereby, (a) extend the fixed maturity of any Securities of any series, or reduce the principal amount thereof, or reduce the rate or extend the time of payment of interest thereon, or reduce any premium payable upon the redemption thereof or (b) reduce the aforesaid percentage of Securities, the holders of which are required to consent to any such supplemental indenture.</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 shall not be necessary for the consent of the Securityholders of any series affected thereby under this Section to approve the particular form of any proposed supplemental indenture, but it shall be sufficient if such consent shall approve the substance thereof.</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bookmarkStart w:id="81" w:name="a_065"/>
      <w:bookmarkEnd w:id="81"/>
      <w:r>
        <w:rPr>
          <w:rFonts w:ascii="Times New Roman;Times;Serif" w:hAnsi="Times New Roman;Times;Serif"/>
          <w:b/>
          <w:i w:val="false"/>
          <w:caps w:val="false"/>
          <w:smallCaps w:val="false"/>
          <w:sz w:val="20"/>
        </w:rPr>
        <w:t>Section 9.03 Effect of Supplemental Indentures.</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Upon the execution of any supplemental indenture pursuant to the provisions of this Article or of Section 10.01, this Indenture shall, with respect to such series, be and be deemed to be modified and amended in accordance therewith and the respective rights, limitations of rights, obligations, duties and immunities under this Indenture of the Trustee, the Company and the holders of Securities of the series affected thereby shall thereafter be determined, exercised and enforced hereunder subject in all respects to such modifications and amendments, and all the terms and conditions of any such supplemental indenture shall be and be deemed to be part of the terms and conditions of this Indenture for any and all purposes.</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bookmarkStart w:id="82" w:name="a_066"/>
      <w:bookmarkEnd w:id="82"/>
      <w:r>
        <w:rPr>
          <w:rFonts w:ascii="Times New Roman;Times;Serif" w:hAnsi="Times New Roman;Times;Serif"/>
          <w:b/>
          <w:i w:val="false"/>
          <w:caps w:val="false"/>
          <w:smallCaps w:val="false"/>
          <w:sz w:val="20"/>
        </w:rPr>
        <w:t>Section 9.04 Securities Affected by Supplemental Indentures.</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Securities of any series affected by a supplemental indenture, authenticated and delivered after the execution of such supplemental indenture pursuant to the provisions of this Article or of Section 10.01, may bear a notation in form approved by the Company, provided such form meets the requirements of any securities exchange upon which such series may be listed, as to any matter provided for in such supplemental indenture. If the Company shall so determine, new Securities of that series so modified as to conform, in the opinion of the Board of Directors, to any modification of this Indenture contained in any such supplemental indenture may be prepared by the Company, authenticated by the Trustee and delivered in exchange for the Securities of that series then Outstanding.</w:t>
      </w:r>
    </w:p>
    <w:p>
      <w:pPr>
        <w:pStyle w:val="TextBody"/>
        <w:bidi w:val="0"/>
        <w:jc w:val="both"/>
        <w:rPr>
          <w:caps w:val="false"/>
          <w:smallCaps w:val="false"/>
        </w:rPr>
      </w:pPr>
      <w:r>
        <w:rPr>
          <w:caps w:val="false"/>
          <w:smallCaps w:val="false"/>
        </w:rPr>
        <w:t> </w:t>
      </w:r>
    </w:p>
    <w:p>
      <w:pPr>
        <w:pStyle w:val="TextBody"/>
        <w:bidi w:val="0"/>
        <w:spacing w:before="0" w:after="0"/>
        <w:jc w:val="center"/>
        <w:rPr>
          <w:bdr w:val="single" w:sz="12" w:space="1" w:color="000000"/>
        </w:rPr>
      </w:pPr>
      <w:r>
        <w:rPr>
          <w:bdr w:val="single" w:sz="12" w:space="1" w:color="000000"/>
        </w:rPr>
        <w:t>38</w:t>
      </w:r>
    </w:p>
    <w:p>
      <w:pPr>
        <w:pStyle w:val="TextBody"/>
        <w:bidi w:val="0"/>
        <w:spacing w:before="0" w:after="0"/>
        <w:ind w:left="0" w:right="0" w:hanging="0"/>
        <w:jc w:val="left"/>
        <w:rPr/>
      </w:pPr>
      <w:r>
        <w:rPr/>
        <w:t> </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bookmarkStart w:id="83" w:name="a_067"/>
      <w:bookmarkEnd w:id="83"/>
      <w:r>
        <w:rPr>
          <w:rFonts w:ascii="Times New Roman;Times;Serif" w:hAnsi="Times New Roman;Times;Serif"/>
          <w:b/>
          <w:i w:val="false"/>
          <w:caps w:val="false"/>
          <w:smallCaps w:val="false"/>
          <w:sz w:val="20"/>
        </w:rPr>
        <w:t>Section 9.05 Execution of Supplemental Indentures.</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Upon the request of the Company, accompanied by its Board Resolutions authorizing the execution of any such supplemental indenture, and upon the filing with the Trustee of evidence of the consent of Securityholders required to consent thereto as aforesaid, the Trustee shall join with the Company in the execution of such supplemental indenture unless such supplemental indenture affects the Trustee’s own rights, duties or immunities under this Indenture or otherwise, in which case the Trustee may in its discretion but shall not be obligated to enter into such supplemental indenture. The Trustee, subject to the provisions of Section 7.01, will be entitled to receive and will be fully protected in relying upon an Officers’ Certificate and an Opinion of Counsel stating that any supplemental indenture executed pursuant to this Article is authorized or permitted by, and conforms to, the terms of this Article and that it is proper for the Trustee under the provisions of this Article to join in the execution thereof; provided, however, that such Officers’ Certificate or Opinion of Counsel need not be provided in connection with the execution of a supplemental indenture that establishes the terms of a series of Securities pursuant to Section 2.01 hereof.</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Promptly after the execution by the Company and the Trustee of any supplemental indenture pursuant to the provisions of this Section, the Trustee shall transmit by mail, first class postage prepaid, a notice, setting forth in general terms the substance of such supplemental indenture, to the Securityholders of all series affected thereby as their names and addresses appear upon the Security Register. Any failure of the Trustee to mail such notice, or any defect therein, shall not, however, in any way impair or affect the validity of any such supplemental indenture.</w:t>
      </w:r>
    </w:p>
    <w:p>
      <w:pPr>
        <w:pStyle w:val="TextBody"/>
        <w:bidi w:val="0"/>
        <w:jc w:val="center"/>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0"/>
        </w:rPr>
      </w:pPr>
      <w:bookmarkStart w:id="84" w:name="a_068"/>
      <w:bookmarkEnd w:id="84"/>
      <w:r>
        <w:rPr>
          <w:rFonts w:ascii="Times New Roman;Times;Serif" w:hAnsi="Times New Roman;Times;Serif"/>
          <w:b/>
          <w:i w:val="false"/>
          <w:caps w:val="false"/>
          <w:smallCaps w:val="false"/>
          <w:sz w:val="20"/>
        </w:rPr>
        <w:t>ARTICLE 10</w:t>
      </w:r>
    </w:p>
    <w:p>
      <w:pPr>
        <w:pStyle w:val="TextBody"/>
        <w:bidi w:val="0"/>
        <w:jc w:val="center"/>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SUCCESSOR ENTITY</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bookmarkStart w:id="85" w:name="a_069"/>
      <w:bookmarkEnd w:id="85"/>
      <w:r>
        <w:rPr>
          <w:rFonts w:ascii="Times New Roman;Times;Serif" w:hAnsi="Times New Roman;Times;Serif"/>
          <w:b/>
          <w:i w:val="false"/>
          <w:caps w:val="false"/>
          <w:smallCaps w:val="false"/>
          <w:sz w:val="20"/>
        </w:rPr>
        <w:t>Section 10.01 Company May Consolidate, Etc.</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Except as provided pursuant to Section 2.01 pursuant to a Board Resolution, and set forth in an Officers’ Certificate, or established in one or more indentures supplemental to this Indenture, nothing contained in this Indenture shall prevent any consolidation or merger of the Company with or into any other Person (whether or not affiliated with the Company) or successive consolidations or mergers in which the Company or its successor or successors shall be a party or parties, or shall prevent any sale, conveyance, transfer or other disposition of the property of the Company or its successor or successors as an entirety, or substantially as an entirety, to any other corporation (whether or not affiliated with the Company or its successor or successors) authorized to acquire and operate the same; provided, however, the Company hereby covenants and agrees that, upon any such consolidation or merger (in each case, if the Company is not the survivor of such transaction), sale, conveyance, transfer or other disposition, the due and punctual payment of the principal of (premium, if any) and interest on all of the Securities of all series in accordance with the terms of each series, according to their tenor, and the due and punctual performance and observance of all the covenants and conditions of this Indenture with respect to each series or established with respect to such series pursuant to Section 2.01 to be kept or performed by the Company shall be expressly assumed, by supplemental indenture (which shall conform to the provisions of the Trust Indenture Act, as then in effect) reasonably satisfactory in form to the Trustee executed and delivered to the Trustee by the entity formed by such consolidation, or into which the Company shall have been merged, or by the entity which shall have acquired such property.</w:t>
      </w:r>
    </w:p>
    <w:p>
      <w:pPr>
        <w:pStyle w:val="TextBody"/>
        <w:bidi w:val="0"/>
        <w:jc w:val="both"/>
        <w:rPr>
          <w:caps w:val="false"/>
          <w:smallCaps w:val="false"/>
        </w:rPr>
      </w:pPr>
      <w:r>
        <w:rPr>
          <w:caps w:val="false"/>
          <w:smallCaps w:val="false"/>
        </w:rPr>
        <w:t> </w:t>
      </w:r>
    </w:p>
    <w:p>
      <w:pPr>
        <w:pStyle w:val="TextBody"/>
        <w:bidi w:val="0"/>
        <w:spacing w:before="0" w:after="0"/>
        <w:jc w:val="center"/>
        <w:rPr>
          <w:bdr w:val="single" w:sz="12" w:space="1" w:color="000000"/>
        </w:rPr>
      </w:pPr>
      <w:r>
        <w:rPr>
          <w:bdr w:val="single" w:sz="12" w:space="1" w:color="000000"/>
        </w:rPr>
        <w:t>39</w:t>
      </w:r>
    </w:p>
    <w:p>
      <w:pPr>
        <w:pStyle w:val="TextBody"/>
        <w:bidi w:val="0"/>
        <w:spacing w:before="0" w:after="0"/>
        <w:ind w:left="0" w:right="0" w:hanging="0"/>
        <w:jc w:val="left"/>
        <w:rPr/>
      </w:pPr>
      <w:r>
        <w:rPr/>
        <w:t> </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bookmarkStart w:id="86" w:name="a_070"/>
      <w:bookmarkEnd w:id="86"/>
      <w:r>
        <w:rPr>
          <w:rFonts w:ascii="Times New Roman;Times;Serif" w:hAnsi="Times New Roman;Times;Serif"/>
          <w:b/>
          <w:i w:val="false"/>
          <w:caps w:val="false"/>
          <w:smallCaps w:val="false"/>
          <w:sz w:val="20"/>
        </w:rPr>
        <w:t>Section 10.02 Successor Entity Substituted.</w:t>
      </w:r>
    </w:p>
    <w:p>
      <w:pPr>
        <w:pStyle w:val="TextBody"/>
        <w:bidi w:val="0"/>
        <w:ind w:left="0" w:right="0" w:firstLine="720"/>
        <w:jc w:val="left"/>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(a) </w:t>
      </w:r>
      <w:r>
        <w:rPr>
          <w:rFonts w:ascii="Times New Roman;Times;Serif" w:hAnsi="Times New Roman;Times;Serif"/>
          <w:b w:val="false"/>
          <w:i w:val="false"/>
          <w:caps w:val="false"/>
          <w:smallCaps w:val="false"/>
          <w:sz w:val="20"/>
        </w:rPr>
        <w:t>In case of any such consolidation, merger, sale, conveyance, transfer or other disposition and upon the assumption by the successor entity by supplemental indenture, executed and delivered to the Trustee and satisfactory in form to the Trustee, of the obligations set forth under Section 10.01 on all of the Securities of all series Outstanding, such successor entity shall succeed to and be substituted for the Company with the same effect as if it had been named as the Company herein, and thereupon the predecessor corporation shall be relieved of all obligations and covenants under this Indenture and the Securities.</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(b) </w:t>
      </w:r>
      <w:r>
        <w:rPr>
          <w:rFonts w:ascii="Times New Roman;Times;Serif" w:hAnsi="Times New Roman;Times;Serif"/>
          <w:b w:val="false"/>
          <w:i w:val="false"/>
          <w:caps w:val="false"/>
          <w:smallCaps w:val="false"/>
          <w:sz w:val="20"/>
        </w:rPr>
        <w:t>In case of any such consolidation, merger, sale, conveyance, transfer or other disposition, such changes in phraseology and form (but not in substance) may be made in the Securities thereafter to be issued as may be appropriate.</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(c) </w:t>
      </w:r>
      <w:r>
        <w:rPr>
          <w:rFonts w:ascii="Times New Roman;Times;Serif" w:hAnsi="Times New Roman;Times;Serif"/>
          <w:b w:val="false"/>
          <w:i w:val="false"/>
          <w:caps w:val="false"/>
          <w:smallCaps w:val="false"/>
          <w:sz w:val="20"/>
        </w:rPr>
        <w:t>Nothing contained in this Article shall require any action by the Company in the case of a consolidation or merger of any Person into the Company where the Company is the survivor of such transaction, or the acquisition by the Company, by purchase or otherwise, of all or any part of the property of any other Person (whether or not affiliated with the Company).</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bookmarkStart w:id="87" w:name="a_071"/>
      <w:bookmarkEnd w:id="87"/>
      <w:r>
        <w:rPr>
          <w:rFonts w:ascii="Times New Roman;Times;Serif" w:hAnsi="Times New Roman;Times;Serif"/>
          <w:b/>
          <w:i w:val="false"/>
          <w:caps w:val="false"/>
          <w:smallCaps w:val="false"/>
          <w:sz w:val="20"/>
        </w:rPr>
        <w:t>Section 10.03 Evidence of Consolidation, Etc. to Trustee.</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Trustee, subject to the provisions of Section 7.01, may receive an Officers’ Certificate or an Opinion of Counsel as conclusive evidence that any such consolidation, merger, sale, conveyance, transfer or other disposition, and any such assumption, comply with the provisions of this Article.</w:t>
      </w:r>
    </w:p>
    <w:p>
      <w:pPr>
        <w:pStyle w:val="TextBody"/>
        <w:bidi w:val="0"/>
        <w:jc w:val="center"/>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0"/>
        </w:rPr>
      </w:pPr>
      <w:bookmarkStart w:id="88" w:name="a_072"/>
      <w:bookmarkEnd w:id="88"/>
      <w:r>
        <w:rPr>
          <w:rFonts w:ascii="Times New Roman;Times;Serif" w:hAnsi="Times New Roman;Times;Serif"/>
          <w:b/>
          <w:i w:val="false"/>
          <w:caps w:val="false"/>
          <w:smallCaps w:val="false"/>
          <w:sz w:val="20"/>
        </w:rPr>
        <w:t>ARTICLE 11</w:t>
      </w:r>
    </w:p>
    <w:p>
      <w:pPr>
        <w:pStyle w:val="TextBody"/>
        <w:bidi w:val="0"/>
        <w:jc w:val="center"/>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SATISFACTION AND DISCHARGE</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bookmarkStart w:id="89" w:name="a_073"/>
      <w:bookmarkEnd w:id="89"/>
      <w:r>
        <w:rPr>
          <w:rFonts w:ascii="Times New Roman;Times;Serif" w:hAnsi="Times New Roman;Times;Serif"/>
          <w:b/>
          <w:i w:val="false"/>
          <w:caps w:val="false"/>
          <w:smallCaps w:val="false"/>
          <w:sz w:val="20"/>
        </w:rPr>
        <w:t>Section 11.01 Satisfaction and Discharge of Indenture.</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at any time: (a) the Company shall have delivered to the Trustee for cancellation all Securities of a series theretofore authenticated and not delivered to the Trustee for cancellation (other than any Securities that shall have been destroyed, lost or stolen and that shall have been replaced or paid as provided in Section 2.07 and Securities for whose payment money or Governmental Obligations have theretofore been deposited in trust or segregated and held in trust by the Company and thereupon repaid to the Company or discharged from such trust, as provided in Section 11.05); or (b) all such Securities of a particular series not theretofore delivered to the Trustee for cancellation shall have become due and payable, or are by their terms to become due and payable within one year or are to be called for redemption within one year under arrangements satisfactory to the Trustee for the giving of notice of redemption, and the Company shall deposit or cause to be deposited with the Trustee as trust funds the entire amount in moneys or Governmental Obligations or a combination thereof, sufficient in the opinion of a nationally recognized firm of independent public accountants expressed in a written certification thereof delivered to the Trustee, to pay at maturity or upon redemption all Securities of that series not theretofore delivered to the Trustee for cancellation, including principal (and premium, if any) and interest due or to become due to such date of maturity or date fixed for redemption, as the case may be, and if the Company shall also pay or cause to be paid all other sums payable hereunder with respect to such series by the Company then this Indenture shall thereupon cease to be of further effect with respect to such series except for the provisions of Sections 2.03, 2.05, 2.07, 4.01, 4.02, 4.03 and 7.10, that shall survive until the date of maturity or redemption date, as the case may be, and Sections 7.06 and 11.05, that shall survive to such date and thereafter, and the Trustee, on demand of the Company and at the cost and expense of the Company shall execute proper instruments acknowledging satisfaction of and discharging this Indenture with respect to such series.</w:t>
      </w:r>
    </w:p>
    <w:p>
      <w:pPr>
        <w:pStyle w:val="TextBody"/>
        <w:bidi w:val="0"/>
        <w:jc w:val="both"/>
        <w:rPr>
          <w:caps w:val="false"/>
          <w:smallCaps w:val="false"/>
        </w:rPr>
      </w:pPr>
      <w:r>
        <w:rPr>
          <w:caps w:val="false"/>
          <w:smallCaps w:val="false"/>
        </w:rPr>
        <w:t> </w:t>
      </w:r>
    </w:p>
    <w:p>
      <w:pPr>
        <w:pStyle w:val="TextBody"/>
        <w:bidi w:val="0"/>
        <w:spacing w:before="0" w:after="0"/>
        <w:jc w:val="center"/>
        <w:rPr>
          <w:bdr w:val="single" w:sz="12" w:space="1" w:color="000000"/>
        </w:rPr>
      </w:pPr>
      <w:r>
        <w:rPr>
          <w:bdr w:val="single" w:sz="12" w:space="1" w:color="000000"/>
        </w:rPr>
        <w:t>40</w:t>
      </w:r>
    </w:p>
    <w:p>
      <w:pPr>
        <w:pStyle w:val="TextBody"/>
        <w:bidi w:val="0"/>
        <w:spacing w:before="0" w:after="0"/>
        <w:ind w:left="0" w:right="0" w:hanging="0"/>
        <w:jc w:val="left"/>
        <w:rPr/>
      </w:pPr>
      <w:r>
        <w:rPr/>
        <w:t> </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bookmarkStart w:id="90" w:name="a_074"/>
      <w:bookmarkEnd w:id="90"/>
      <w:r>
        <w:rPr>
          <w:rFonts w:ascii="Times New Roman;Times;Serif" w:hAnsi="Times New Roman;Times;Serif"/>
          <w:b/>
          <w:i w:val="false"/>
          <w:caps w:val="false"/>
          <w:smallCaps w:val="false"/>
          <w:sz w:val="20"/>
        </w:rPr>
        <w:t>Section 11.02 Discharge of Obligations.</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at any time all such Securities of a particular series not heretofore delivered to the Trustee for cancellation or that have not become due and payable as described in Section 11.01 shall have been paid by the Company by depositing irrevocably with the Trustee as trust funds moneys or an amount of Governmental Obligations sufficient to pay at maturity or upon redemption all such Securities of that series not theretofore delivered to the Trustee for cancellation, including principal (and premium, if any) and interest due or to become due to such date of maturity or date fixed for redemption, as the case may be, and if the Company shall also pay or cause to be paid all other sums payable hereunder by the Company with respect to such series, then after the date such moneys or Governmental Obligations, as the case may be, are deposited with the Trustee the obligations of the Company under this Indenture with respect to such series shall cease to be of further effect except for the provisions of Sections 2.03, 2.05, 2.07, 4,01, 4.02, 4,03, 7.05, 7.10 and 11.05 hereof that shall survive until such Securities shall mature and be paid.</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Thereafter, Sections 7.06 and 11.05 shall survive.</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bookmarkStart w:id="91" w:name="a_075"/>
      <w:bookmarkEnd w:id="91"/>
      <w:r>
        <w:rPr>
          <w:rFonts w:ascii="Times New Roman;Times;Serif" w:hAnsi="Times New Roman;Times;Serif"/>
          <w:b/>
          <w:i w:val="false"/>
          <w:caps w:val="false"/>
          <w:smallCaps w:val="false"/>
          <w:sz w:val="20"/>
        </w:rPr>
        <w:t>Section 11.03 Deposited Moneys to be Held in Trust.</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moneys or Governmental Obligations deposited with the Trustee pursuant to Sections 11.01 or 11.02 shall be held in trust and shall be available for payment as due, either directly or through any paying agent (including the Company acting as its own paying agent), to the holders of the particular series of Securities for the payment or redemption of which such moneys or Governmental Obligations have been deposited with the Trustee.</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bookmarkStart w:id="92" w:name="a_076"/>
      <w:bookmarkEnd w:id="92"/>
      <w:r>
        <w:rPr>
          <w:rFonts w:ascii="Times New Roman;Times;Serif" w:hAnsi="Times New Roman;Times;Serif"/>
          <w:b/>
          <w:i w:val="false"/>
          <w:caps w:val="false"/>
          <w:smallCaps w:val="false"/>
          <w:sz w:val="20"/>
        </w:rPr>
        <w:t>Section 11.04 Payment of Moneys Held by Paying Agents.</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the satisfaction and discharge of this Indenture all moneys or Governmental Obligations then held by any paying agent under the provisions of this Indenture shall, upon demand of the Company, be paid to the Trustee and thereupon such paying agent shall be released from all further liability with respect to such moneys or Governmental Obligations.</w:t>
      </w:r>
    </w:p>
    <w:p>
      <w:pPr>
        <w:pStyle w:val="TextBody"/>
        <w:bidi w:val="0"/>
        <w:jc w:val="both"/>
        <w:rPr>
          <w:caps w:val="false"/>
          <w:smallCaps w:val="false"/>
        </w:rPr>
      </w:pPr>
      <w:r>
        <w:rPr>
          <w:caps w:val="false"/>
          <w:smallCaps w:val="false"/>
        </w:rPr>
        <w:t> </w:t>
      </w:r>
    </w:p>
    <w:p>
      <w:pPr>
        <w:pStyle w:val="TextBody"/>
        <w:bidi w:val="0"/>
        <w:spacing w:before="0" w:after="0"/>
        <w:jc w:val="center"/>
        <w:rPr>
          <w:bdr w:val="single" w:sz="12" w:space="1" w:color="000000"/>
        </w:rPr>
      </w:pPr>
      <w:r>
        <w:rPr>
          <w:bdr w:val="single" w:sz="12" w:space="1" w:color="000000"/>
        </w:rPr>
        <w:t>41</w:t>
      </w:r>
    </w:p>
    <w:p>
      <w:pPr>
        <w:pStyle w:val="TextBody"/>
        <w:bidi w:val="0"/>
        <w:spacing w:before="0" w:after="0"/>
        <w:ind w:left="0" w:right="0" w:hanging="0"/>
        <w:jc w:val="left"/>
        <w:rPr/>
      </w:pPr>
      <w:r>
        <w:rPr/>
        <w:t> </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bookmarkStart w:id="93" w:name="a_077"/>
      <w:bookmarkEnd w:id="93"/>
      <w:r>
        <w:rPr>
          <w:rFonts w:ascii="Times New Roman;Times;Serif" w:hAnsi="Times New Roman;Times;Serif"/>
          <w:b/>
          <w:i w:val="false"/>
          <w:caps w:val="false"/>
          <w:smallCaps w:val="false"/>
          <w:sz w:val="20"/>
        </w:rPr>
        <w:t>Section 11.05 Repayment to Company.</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moneys or Governmental Obligations deposited with any paying agent or the Trustee, or then held by the Company, in trust for payment of principal of or premium, if any, or interest on the Securities of a particular series that are not applied but remain unclaimed by the holders of such Securities for at least two years after the date upon which the principal of (and premium, if any) or interest on such Securities shall have respectively become due and payable, or such other shorter period set forth in applicable escheat or abandoned or unclaimed property law, shall be repaid to the Company on May 31 of each year or upon the Company’s request or (if then held by the Company) shall be discharged from such trust; and thereupon the paying agent and the Trustee shall be released from all further liability with respect to such moneys or Governmental Obligations, and the holder of any of the Securities entitled to receive such payment shall thereafter, as a general creditor, look only to the Company for the payment thereof.</w:t>
      </w:r>
    </w:p>
    <w:p>
      <w:pPr>
        <w:pStyle w:val="TextBody"/>
        <w:bidi w:val="0"/>
        <w:jc w:val="center"/>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0"/>
        </w:rPr>
      </w:pPr>
      <w:bookmarkStart w:id="94" w:name="a_078"/>
      <w:bookmarkEnd w:id="94"/>
      <w:r>
        <w:rPr>
          <w:rFonts w:ascii="Times New Roman;Times;Serif" w:hAnsi="Times New Roman;Times;Serif"/>
          <w:b/>
          <w:i w:val="false"/>
          <w:caps w:val="false"/>
          <w:smallCaps w:val="false"/>
          <w:sz w:val="20"/>
        </w:rPr>
        <w:t>ARTICLE 12</w:t>
      </w:r>
    </w:p>
    <w:p>
      <w:pPr>
        <w:pStyle w:val="TextBody"/>
        <w:bidi w:val="0"/>
        <w:jc w:val="center"/>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IMMUNITY OF INCORPORATORS, SHAREHOLDERS, OFFICERS AND DIRECTORS</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bookmarkStart w:id="95" w:name="a_079"/>
      <w:bookmarkEnd w:id="95"/>
      <w:r>
        <w:rPr>
          <w:rFonts w:ascii="Times New Roman;Times;Serif" w:hAnsi="Times New Roman;Times;Serif"/>
          <w:b/>
          <w:i w:val="false"/>
          <w:caps w:val="false"/>
          <w:smallCaps w:val="false"/>
          <w:sz w:val="20"/>
        </w:rPr>
        <w:t>Section 12.01 No Recourse.</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recourse under or upon any obligation, covenant or agreement of this Indenture, or of any Security, or for any claim based thereon or otherwise in respect thereof, shall be had against any incorporator, shareholder, officer or director, past, present or future as such, of the Company or of any predecessor or successor corporation, either directly or through the Company or any such predecessor or successor corporation, whether by virtue of any constitution, statute or rule of law, or by the enforcement of any assessment or penalty or otherwise; it being expressly understood that this Indenture and the obligations issued hereunder are solely corporate obligations, and that no such personal liability whatever shall attach to, or is or shall be incurred by, the incorporators, shareholders, officers or directors as such, of the Company or of any predecessor or successor corporation, or any of them, because of the creation of the indebtedness hereby authorized, or under or by reason of the obligations, covenants or agreements contained in this Indenture or in any of the Securities or implied therefrom; and that any and all such personal liability of every name and nature, either at common law or in equity or by constitution or statute, of, and any and all such rights and claims against, every such incorporator, shareholder, officer or director as such, because of the creation of the indebtedness hereby authorized, or under or by reason of the obligations, covenants or agreements contained in this Indenture or in any of the Securities or implied therefrom, are hereby expressly waived and released as a condition of, and as a consideration for, the execution of this Indenture and the issuance of such Securities.</w:t>
      </w:r>
    </w:p>
    <w:p>
      <w:pPr>
        <w:pStyle w:val="TextBody"/>
        <w:bidi w:val="0"/>
        <w:jc w:val="center"/>
        <w:rPr>
          <w:caps w:val="false"/>
          <w:smallCaps w:val="false"/>
        </w:rPr>
      </w:pPr>
      <w:r>
        <w:rPr>
          <w:caps w:val="false"/>
          <w:smallCaps w:val="false"/>
        </w:rPr>
        <w:t> </w:t>
      </w:r>
    </w:p>
    <w:p>
      <w:pPr>
        <w:pStyle w:val="TextBody"/>
        <w:bidi w:val="0"/>
        <w:spacing w:before="0" w:after="0"/>
        <w:jc w:val="center"/>
        <w:rPr>
          <w:bdr w:val="single" w:sz="12" w:space="1" w:color="000000"/>
        </w:rPr>
      </w:pPr>
      <w:r>
        <w:rPr>
          <w:bdr w:val="single" w:sz="12" w:space="1" w:color="000000"/>
        </w:rPr>
        <w:t>42</w:t>
      </w:r>
    </w:p>
    <w:p>
      <w:pPr>
        <w:pStyle w:val="TextBody"/>
        <w:bidi w:val="0"/>
        <w:spacing w:before="0" w:after="0"/>
        <w:ind w:left="0" w:right="0" w:hanging="0"/>
        <w:jc w:val="left"/>
        <w:rPr/>
      </w:pPr>
      <w:r>
        <w:rPr/>
        <w:t> </w:t>
      </w:r>
    </w:p>
    <w:p>
      <w:pPr>
        <w:pStyle w:val="TextBody"/>
        <w:bidi w:val="0"/>
        <w:jc w:val="center"/>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0"/>
        </w:rPr>
      </w:pPr>
      <w:bookmarkStart w:id="96" w:name="a_080"/>
      <w:bookmarkEnd w:id="96"/>
      <w:r>
        <w:rPr>
          <w:rFonts w:ascii="Times New Roman;Times;Serif" w:hAnsi="Times New Roman;Times;Serif"/>
          <w:b/>
          <w:i w:val="false"/>
          <w:caps w:val="false"/>
          <w:smallCaps w:val="false"/>
          <w:sz w:val="20"/>
        </w:rPr>
        <w:t>ARTICLE 13</w:t>
      </w:r>
    </w:p>
    <w:p>
      <w:pPr>
        <w:pStyle w:val="TextBody"/>
        <w:bidi w:val="0"/>
        <w:jc w:val="center"/>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MISCELLANEOUS PROVISIONS</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bookmarkStart w:id="97" w:name="a_081"/>
      <w:bookmarkEnd w:id="97"/>
      <w:r>
        <w:rPr>
          <w:rFonts w:ascii="Times New Roman;Times;Serif" w:hAnsi="Times New Roman;Times;Serif"/>
          <w:b/>
          <w:i w:val="false"/>
          <w:caps w:val="false"/>
          <w:smallCaps w:val="false"/>
          <w:sz w:val="20"/>
        </w:rPr>
        <w:t>Section 13.01 Effect on Successors and Assigns.</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the covenants, stipulations, promises and agreements in this Indenture made by or on behalf of the Company shall bind its successors and assigns, whether so expressed or not.</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bookmarkStart w:id="98" w:name="a_082"/>
      <w:bookmarkEnd w:id="98"/>
      <w:r>
        <w:rPr>
          <w:rFonts w:ascii="Times New Roman;Times;Serif" w:hAnsi="Times New Roman;Times;Serif"/>
          <w:b/>
          <w:i w:val="false"/>
          <w:caps w:val="false"/>
          <w:smallCaps w:val="false"/>
          <w:sz w:val="20"/>
        </w:rPr>
        <w:t>Section 13.02 Actions by Successor.</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act or proceeding by any provision of this Indenture authorized or required to be done or performed by any board, committee or officer of the Company shall and may be done and performed with like force and effect by the corresponding board, committee or officer of any corporation that shall at the time be the lawful successor of the Company.</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bookmarkStart w:id="99" w:name="a_083"/>
      <w:bookmarkEnd w:id="99"/>
      <w:r>
        <w:rPr>
          <w:rFonts w:ascii="Times New Roman;Times;Serif" w:hAnsi="Times New Roman;Times;Serif"/>
          <w:b/>
          <w:i w:val="false"/>
          <w:caps w:val="false"/>
          <w:smallCaps w:val="false"/>
          <w:sz w:val="20"/>
        </w:rPr>
        <w:t>Section 13.03 Surrender of Company Powers.</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by instrument in writing executed by authority of its Board of Directors and delivered to the Trustee may surrender any of the powers reserved to the Company, and thereupon such power so surrendered shall terminate both as to the Company and as to any successor corporation.</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bookmarkStart w:id="100" w:name="a_084"/>
      <w:bookmarkEnd w:id="100"/>
      <w:r>
        <w:rPr>
          <w:rFonts w:ascii="Times New Roman;Times;Serif" w:hAnsi="Times New Roman;Times;Serif"/>
          <w:b/>
          <w:i w:val="false"/>
          <w:caps w:val="false"/>
          <w:smallCaps w:val="false"/>
          <w:sz w:val="20"/>
        </w:rPr>
        <w:t>Section 13.04 Notices.</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Except as otherwise expressly provided herein, any notice, request or demand that by any provision of this Indenture is required or permitted to be given, made or served by the Trustee or by the holders of Securities or by any other Person pursuant to this Indenture to or on the Company may be given or served and shall be deemed to have been duly given or made on (a) delivery thereof, if by hand; (b) upon receipt, if sent by mail (registered or certified mail, postage prepaid, return receipt requested); (c) on the second Business Day following deposit, if sent by a recognized overnight delivery service; or (d) upon transmission, if sent by facsimile transmission (in each case with receipt verified by electronic confirmation), as follows: 116 Village Boulevard, Suite 200, Princeton, NJ 08540, with a copy which shall not constitute notice to Hunter Taubman Fischer &amp; Li, 950 Third Ave., 19</w:t>
      </w:r>
      <w:r>
        <w:rPr>
          <w:rFonts w:ascii="Times New Roman;Times;Serif" w:hAnsi="Times New Roman;Times;Serif"/>
          <w:b w:val="false"/>
          <w:i w:val="false"/>
          <w:caps w:val="false"/>
          <w:smallCaps w:val="false"/>
          <w:position w:val="7"/>
          <w:sz w:val="16"/>
          <w:sz w:val="20"/>
        </w:rPr>
        <w:t>th</w:t>
      </w:r>
      <w:r>
        <w:rPr>
          <w:rFonts w:ascii="Times New Roman;Times;Serif" w:hAnsi="Times New Roman;Times;Serif"/>
          <w:b w:val="false"/>
          <w:i w:val="false"/>
          <w:caps w:val="false"/>
          <w:smallCaps w:val="false"/>
          <w:sz w:val="20"/>
        </w:rPr>
        <w:t xml:space="preserve"> Floor, New York, New York 10022, Attn: Louis Taubman, Esq., facsimile number: (212)202-6380, email: ltaubman@htflawyers.com. Any notice, election, request or demand by the Company or any Securityholder or by any other Person pursuant to this Indenture to or upon the Trustee shall be deemed to have been sufficiently given or made, for all purposes, if given or made in writing at the Corporate Trust Office of the Trustee.</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bookmarkStart w:id="101" w:name="a_085"/>
      <w:bookmarkEnd w:id="101"/>
      <w:r>
        <w:rPr>
          <w:rFonts w:ascii="Times New Roman;Times;Serif" w:hAnsi="Times New Roman;Times;Serif"/>
          <w:b/>
          <w:i w:val="false"/>
          <w:caps w:val="false"/>
          <w:smallCaps w:val="false"/>
          <w:sz w:val="20"/>
        </w:rPr>
        <w:t>Section 13.05 Governing Law.</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Indenture and each Security shall be deemed to be a contract made under the internal laws of the State of New York, and for all purposes shall be construed in accordance with the laws of said State, except to the extent that the Trust Indenture Act is applicable.</w:t>
      </w:r>
    </w:p>
    <w:p>
      <w:pPr>
        <w:pStyle w:val="TextBody"/>
        <w:bidi w:val="0"/>
        <w:jc w:val="both"/>
        <w:rPr>
          <w:caps w:val="false"/>
          <w:smallCaps w:val="false"/>
        </w:rPr>
      </w:pPr>
      <w:r>
        <w:rPr>
          <w:caps w:val="false"/>
          <w:smallCaps w:val="false"/>
        </w:rPr>
        <w:t> </w:t>
      </w:r>
    </w:p>
    <w:p>
      <w:pPr>
        <w:pStyle w:val="TextBody"/>
        <w:bidi w:val="0"/>
        <w:spacing w:before="0" w:after="0"/>
        <w:jc w:val="center"/>
        <w:rPr>
          <w:bdr w:val="single" w:sz="12" w:space="1" w:color="000000"/>
        </w:rPr>
      </w:pPr>
      <w:r>
        <w:rPr>
          <w:bdr w:val="single" w:sz="12" w:space="1" w:color="000000"/>
        </w:rPr>
        <w:t>43</w:t>
      </w:r>
    </w:p>
    <w:p>
      <w:pPr>
        <w:pStyle w:val="TextBody"/>
        <w:bidi w:val="0"/>
        <w:spacing w:before="0" w:after="0"/>
        <w:ind w:left="0" w:right="0" w:hanging="0"/>
        <w:jc w:val="left"/>
        <w:rPr/>
      </w:pPr>
      <w:r>
        <w:rPr/>
        <w:t> </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bookmarkStart w:id="102" w:name="a_086"/>
      <w:bookmarkEnd w:id="102"/>
      <w:r>
        <w:rPr>
          <w:rFonts w:ascii="Times New Roman;Times;Serif" w:hAnsi="Times New Roman;Times;Serif"/>
          <w:b/>
          <w:i w:val="false"/>
          <w:caps w:val="false"/>
          <w:smallCaps w:val="false"/>
          <w:sz w:val="20"/>
        </w:rPr>
        <w:t>Section 13.06 Treatment of Securities as Debt.</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 is intended that the Securities will be treated as indebtedness and not as equity for federal income tax purposes. The provisions of this Indenture shall be interpreted to further this intention.</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bookmarkStart w:id="103" w:name="a_087"/>
      <w:bookmarkEnd w:id="103"/>
      <w:r>
        <w:rPr>
          <w:rFonts w:ascii="Times New Roman;Times;Serif" w:hAnsi="Times New Roman;Times;Serif"/>
          <w:b/>
          <w:i w:val="false"/>
          <w:caps w:val="false"/>
          <w:smallCaps w:val="false"/>
          <w:sz w:val="20"/>
        </w:rPr>
        <w:t>Section 13.07 Certificates and Opinions as to Conditions Precedent.</w:t>
      </w:r>
    </w:p>
    <w:p>
      <w:pPr>
        <w:pStyle w:val="TextBody"/>
        <w:bidi w:val="0"/>
        <w:ind w:left="0" w:right="0" w:firstLine="720"/>
        <w:jc w:val="left"/>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(a) </w:t>
      </w:r>
      <w:r>
        <w:rPr>
          <w:rFonts w:ascii="Times New Roman;Times;Serif" w:hAnsi="Times New Roman;Times;Serif"/>
          <w:b w:val="false"/>
          <w:i w:val="false"/>
          <w:caps w:val="false"/>
          <w:smallCaps w:val="false"/>
          <w:sz w:val="20"/>
        </w:rPr>
        <w:t>Upon any application or demand by the Company to the Trustee to take any action under any of the provisions of this Indenture, the Company shall furnish to the Trustee an Officers’ Certificate stating that all conditions precedent provided for in this Indenture (other than the certificate to be delivered pursuant to Section 13.13) relating to the proposed action have been complied with and an Opinion of Counsel stating that in the opinion of such counsel all such conditions precedent have been complied with, except that in the case of any such application or demand as to which the furnishing of such documents is specifically required by any provision of this Indenture relating to such particular application or demand, no additional certificate or opinion need be furnished.</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(b) </w:t>
      </w:r>
      <w:r>
        <w:rPr>
          <w:rFonts w:ascii="Times New Roman;Times;Serif" w:hAnsi="Times New Roman;Times;Serif"/>
          <w:b w:val="false"/>
          <w:i w:val="false"/>
          <w:caps w:val="false"/>
          <w:smallCaps w:val="false"/>
          <w:sz w:val="20"/>
        </w:rPr>
        <w:t>Each certificate or opinion provided for in this Indenture and delivered to the Trustee with respect to compliance with a condition or covenant in this Indenture shall include (i) a statement that the Person making such certificate or opinion has read such covenant or condition; (ii) a brief statement as to the nature and scope of the examination or investigation upon which the statements or opinions contained in such certificate or opinion are based; (iii) a statement that, in the opinion of such Person, he has made such examination or investigation as is reasonably necessary to enable him to express an informed opinion as to whether or not such covenant or condition has been complied with; and (iv) a statement as to whether or not, in the opinion of such Person, such condition or covenant has been complied with.</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bookmarkStart w:id="104" w:name="a_088"/>
      <w:bookmarkEnd w:id="104"/>
      <w:r>
        <w:rPr>
          <w:rFonts w:ascii="Times New Roman;Times;Serif" w:hAnsi="Times New Roman;Times;Serif"/>
          <w:b/>
          <w:i w:val="false"/>
          <w:caps w:val="false"/>
          <w:smallCaps w:val="false"/>
          <w:sz w:val="20"/>
        </w:rPr>
        <w:t>Section 13.08 Payments on Business Days.</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Except as provided pursuant to Section 2.01 pursuant to a Board Resolution, and set forth in an Officers’ Certificate, or established in one or more indentures supplemental to this Indenture, in any case where the date of maturity of interest or principal of any Security or the date of redemption of any Security shall not be a Business Day, then payment of interest or principal (and premium, if any) may be made on the next succeeding Business Day with the same force and effect as if made on the nominal date of maturity or redemption, and no interest shall accrue for the period after such nominal date.</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bookmarkStart w:id="105" w:name="a_089"/>
      <w:bookmarkEnd w:id="105"/>
      <w:r>
        <w:rPr>
          <w:rFonts w:ascii="Times New Roman;Times;Serif" w:hAnsi="Times New Roman;Times;Serif"/>
          <w:b/>
          <w:i w:val="false"/>
          <w:caps w:val="false"/>
          <w:smallCaps w:val="false"/>
          <w:sz w:val="20"/>
        </w:rPr>
        <w:t>Section 13.09 Conflict with Trust Indenture Act.</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and to the extent that any provision of this Indenture limits, qualifies or conflicts with the duties imposed by Sections 310 to 317, inclusive, of the Trust Indenture Act, such imposed duties shall control.</w:t>
      </w:r>
    </w:p>
    <w:p>
      <w:pPr>
        <w:pStyle w:val="TextBody"/>
        <w:bidi w:val="0"/>
        <w:jc w:val="both"/>
        <w:rPr>
          <w:caps w:val="false"/>
          <w:smallCaps w:val="false"/>
        </w:rPr>
      </w:pPr>
      <w:r>
        <w:rPr>
          <w:caps w:val="false"/>
          <w:smallCaps w:val="false"/>
        </w:rPr>
        <w:t> </w:t>
      </w:r>
    </w:p>
    <w:p>
      <w:pPr>
        <w:pStyle w:val="TextBody"/>
        <w:bidi w:val="0"/>
        <w:spacing w:before="0" w:after="0"/>
        <w:jc w:val="center"/>
        <w:rPr>
          <w:bdr w:val="single" w:sz="12" w:space="1" w:color="000000"/>
        </w:rPr>
      </w:pPr>
      <w:r>
        <w:rPr>
          <w:bdr w:val="single" w:sz="12" w:space="1" w:color="000000"/>
        </w:rPr>
        <w:t>44</w:t>
      </w:r>
    </w:p>
    <w:p>
      <w:pPr>
        <w:pStyle w:val="TextBody"/>
        <w:bidi w:val="0"/>
        <w:spacing w:before="0" w:after="0"/>
        <w:ind w:left="0" w:right="0" w:hanging="0"/>
        <w:jc w:val="left"/>
        <w:rPr/>
      </w:pPr>
      <w:r>
        <w:rPr/>
        <w:t> </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bookmarkStart w:id="106" w:name="a_090"/>
      <w:bookmarkEnd w:id="106"/>
      <w:r>
        <w:rPr>
          <w:rFonts w:ascii="Times New Roman;Times;Serif" w:hAnsi="Times New Roman;Times;Serif"/>
          <w:b/>
          <w:i w:val="false"/>
          <w:caps w:val="false"/>
          <w:smallCaps w:val="false"/>
          <w:sz w:val="20"/>
        </w:rPr>
        <w:t>Section 13.10 Indenture and Securities Solely Corporate Obligations.</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recourse for the payment of the principal of, premium, if any, or interest on any Securities, or for any claim based thereon or otherwise in respect thereof, and no recourse under or upon any obligation, covenant or agreement of the Company in this Indenture or in any supplemental indenture or in any Security, or because of the creation of any indebtedness represented thereby, shall be had against any incorporator, shareholder, employee, agent, officer, director or subsidiary, as such, past, present or future, of the Company or of any successor entity, either directly or through the Company or any successor entity, whether by virtue of any constitution, statute, or rule of law, or by the enforcement of any assessment or penalty or otherwise; it being expressly understood that all such liability is hereby expressly waived and released as a condition of, and as a consideration for, the execution of this Indenture and the issuance of the Securities.</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bookmarkStart w:id="107" w:name="a_091"/>
      <w:bookmarkEnd w:id="107"/>
      <w:r>
        <w:rPr>
          <w:rFonts w:ascii="Times New Roman;Times;Serif" w:hAnsi="Times New Roman;Times;Serif"/>
          <w:b/>
          <w:i w:val="false"/>
          <w:caps w:val="false"/>
          <w:smallCaps w:val="false"/>
          <w:sz w:val="20"/>
        </w:rPr>
        <w:t>Section 13.11 Counterparts.</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Indenture may be executed in any number of counterparts, each of which shall be an original, but such counterparts shall together constitute but one and the same instrument.</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bookmarkStart w:id="108" w:name="a_092"/>
      <w:bookmarkEnd w:id="108"/>
      <w:r>
        <w:rPr>
          <w:rFonts w:ascii="Times New Roman;Times;Serif" w:hAnsi="Times New Roman;Times;Serif"/>
          <w:b/>
          <w:i w:val="false"/>
          <w:caps w:val="false"/>
          <w:smallCaps w:val="false"/>
          <w:sz w:val="20"/>
        </w:rPr>
        <w:t>Section 13.12 Separability.</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case any one or more of the provisions contained in this Indenture or in the Securities of any series shall for any reason be held to be invalid, illegal or unenforceable in any respect, such invalidity, illegality or unenforceability shall not affect any other provisions of this Indenture or of such Securities, but this Indenture and such Securities shall be construed as if such invalid or illegal or unenforceable provision had never been contained herein or therein.</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bookmarkStart w:id="109" w:name="a_093"/>
      <w:bookmarkEnd w:id="109"/>
      <w:r>
        <w:rPr>
          <w:rFonts w:ascii="Times New Roman;Times;Serif" w:hAnsi="Times New Roman;Times;Serif"/>
          <w:b/>
          <w:i w:val="false"/>
          <w:caps w:val="false"/>
          <w:smallCaps w:val="false"/>
          <w:sz w:val="20"/>
        </w:rPr>
        <w:t>Section 13.13 Compliance Certificates.</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shall deliver to the Trustee, within 120 days after the end of each fiscal year during which any Securities of any series were outstanding, a compliance certificate stating whether or not the signer knows of any Default or Event of Default that occurred during such fiscal year. Such certificate shall contain a certification from the principal executive officer, principal financial officer or principal accounting officer of the Company that a review has been conducted of the activities of the Company and the Company’s performance under this Indenture and that the Company has complied with all conditions and covenants under this Indenture. For purposes of this Section 13.13, such compliance shall be determined without regard to any period of grace or requirement of notice provided under this Indenture. If the officer of the Company signing such certificate has knowledge of such a Default or Event of Default, the certificate shall describe any such Default or Event of Default and its status.</w:t>
      </w:r>
    </w:p>
    <w:p>
      <w:pPr>
        <w:pStyle w:val="TextBody"/>
        <w:bidi w:val="0"/>
        <w:jc w:val="both"/>
        <w:rPr>
          <w:caps w:val="false"/>
          <w:smallCaps w:val="false"/>
        </w:rPr>
      </w:pPr>
      <w:r>
        <w:rPr>
          <w:caps w:val="false"/>
          <w:smallCaps w:val="false"/>
        </w:rPr>
        <w:t> </w:t>
      </w:r>
    </w:p>
    <w:p>
      <w:pPr>
        <w:pStyle w:val="TextBody"/>
        <w:bidi w:val="0"/>
        <w:spacing w:before="0" w:after="0"/>
        <w:jc w:val="center"/>
        <w:rPr>
          <w:bdr w:val="single" w:sz="12" w:space="1" w:color="000000"/>
        </w:rPr>
      </w:pPr>
      <w:r>
        <w:rPr>
          <w:bdr w:val="single" w:sz="12" w:space="1" w:color="000000"/>
        </w:rPr>
        <w:t>45</w:t>
      </w:r>
    </w:p>
    <w:p>
      <w:pPr>
        <w:pStyle w:val="TextBody"/>
        <w:bidi w:val="0"/>
        <w:spacing w:before="0" w:after="0"/>
        <w:ind w:left="0" w:right="0" w:hanging="0"/>
        <w:jc w:val="left"/>
        <w:rPr/>
      </w:pPr>
      <w:r>
        <w:rPr/>
        <w:t> </w:t>
      </w:r>
    </w:p>
    <w:p>
      <w:pPr>
        <w:pStyle w:val="TextBody"/>
        <w:bidi w:val="0"/>
        <w:ind w:left="0" w:right="0" w:firstLine="36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IN WITNESS WHEREOF</w:t>
      </w:r>
      <w:r>
        <w:rPr>
          <w:rFonts w:ascii="Times New Roman;Times;Serif" w:hAnsi="Times New Roman;Times;Serif"/>
          <w:b w:val="false"/>
          <w:i w:val="false"/>
          <w:caps w:val="false"/>
          <w:smallCaps w:val="false"/>
          <w:sz w:val="20"/>
        </w:rPr>
        <w:t>, the parties hereto have caused this Indenture to be duly executed all as of the day and year first above written.</w:t>
      </w:r>
    </w:p>
    <w:p>
      <w:pPr>
        <w:pStyle w:val="TextBody"/>
        <w:bidi w:val="0"/>
        <w:jc w:val="both"/>
        <w:rPr>
          <w:caps w:val="false"/>
          <w:smallCaps w:val="false"/>
        </w:rPr>
      </w:pPr>
      <w:r>
        <w:rPr>
          <w:caps w:val="false"/>
          <w:smallCaps w:val="false"/>
        </w:rPr>
        <w:t> </w:t>
      </w:r>
    </w:p>
    <w:tbl>
      <w:tblPr>
        <w:tblW w:w="2554" w:type="dxa"/>
        <w:jc w:val="left"/>
        <w:tblInd w:w="0" w:type="dxa"/>
        <w:tblLayout w:type="fixed"/>
        <w:tblCellMar>
          <w:top w:w="0" w:type="dxa"/>
          <w:left w:w="0" w:type="dxa"/>
          <w:bottom w:w="0" w:type="dxa"/>
          <w:right w:w="0" w:type="dxa"/>
        </w:tblCellMar>
      </w:tblPr>
      <w:tblGrid>
        <w:gridCol w:w="75"/>
        <w:gridCol w:w="861"/>
        <w:gridCol w:w="1618"/>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479" w:type="dxa"/>
            <w:gridSpan w:val="2"/>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NIKI BIOSOLUTIONS, INC.</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479" w:type="dxa"/>
            <w:gridSpan w:val="2"/>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86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1618"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861" w:type="dxa"/>
            <w:tcBorders/>
            <w:vAlign w:val="center"/>
          </w:tcPr>
          <w:p>
            <w:pPr>
              <w:pStyle w:val="TableContents"/>
              <w:bidi w:val="0"/>
              <w:spacing w:before="0" w:after="283"/>
              <w:jc w:val="left"/>
              <w:rPr>
                <w:caps w:val="false"/>
                <w:smallCaps w:val="false"/>
              </w:rPr>
            </w:pPr>
            <w:r>
              <w:rPr>
                <w:caps w:val="false"/>
                <w:smallCaps w:val="false"/>
              </w:rPr>
              <w:t> </w:t>
            </w:r>
          </w:p>
        </w:tc>
        <w:tc>
          <w:tcPr>
            <w:tcW w:w="1618"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86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w:t>
            </w:r>
          </w:p>
        </w:tc>
        <w:tc>
          <w:tcPr>
            <w:tcW w:w="1618"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861" w:type="dxa"/>
            <w:tcBorders/>
            <w:vAlign w:val="center"/>
          </w:tcPr>
          <w:p>
            <w:pPr>
              <w:pStyle w:val="TableContents"/>
              <w:bidi w:val="0"/>
              <w:spacing w:before="0" w:after="283"/>
              <w:jc w:val="left"/>
              <w:rPr>
                <w:caps w:val="false"/>
                <w:smallCaps w:val="false"/>
              </w:rPr>
            </w:pPr>
            <w:r>
              <w:rPr>
                <w:caps w:val="false"/>
                <w:smallCaps w:val="false"/>
              </w:rPr>
              <w:t> </w:t>
            </w:r>
          </w:p>
        </w:tc>
        <w:tc>
          <w:tcPr>
            <w:tcW w:w="1618"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86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w:t>
            </w:r>
          </w:p>
        </w:tc>
        <w:tc>
          <w:tcPr>
            <w:tcW w:w="1618"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861" w:type="dxa"/>
            <w:tcBorders/>
            <w:vAlign w:val="center"/>
          </w:tcPr>
          <w:p>
            <w:pPr>
              <w:pStyle w:val="TableContents"/>
              <w:bidi w:val="0"/>
              <w:spacing w:before="0" w:after="283"/>
              <w:jc w:val="left"/>
              <w:rPr>
                <w:caps w:val="false"/>
                <w:smallCaps w:val="false"/>
              </w:rPr>
            </w:pPr>
            <w:r>
              <w:rPr>
                <w:caps w:val="false"/>
                <w:smallCaps w:val="false"/>
              </w:rPr>
              <w:t> </w:t>
            </w:r>
          </w:p>
        </w:tc>
        <w:tc>
          <w:tcPr>
            <w:tcW w:w="1618"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479" w:type="dxa"/>
            <w:gridSpan w:val="2"/>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479" w:type="dxa"/>
            <w:gridSpan w:val="2"/>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[TRUSTEE], </w:t>
            </w:r>
            <w:r>
              <w:rPr>
                <w:rFonts w:ascii="Times New Roman;Times;Serif" w:hAnsi="Times New Roman;Times;Serif"/>
                <w:b w:val="false"/>
                <w:i w:val="false"/>
                <w:caps w:val="false"/>
                <w:smallCaps w:val="false"/>
                <w:sz w:val="20"/>
              </w:rPr>
              <w:t>as Trustee</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479" w:type="dxa"/>
            <w:gridSpan w:val="2"/>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86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1618"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861" w:type="dxa"/>
            <w:tcBorders/>
            <w:vAlign w:val="center"/>
          </w:tcPr>
          <w:p>
            <w:pPr>
              <w:pStyle w:val="TableContents"/>
              <w:bidi w:val="0"/>
              <w:spacing w:before="0" w:after="283"/>
              <w:jc w:val="left"/>
              <w:rPr>
                <w:caps w:val="false"/>
                <w:smallCaps w:val="false"/>
              </w:rPr>
            </w:pPr>
            <w:r>
              <w:rPr>
                <w:caps w:val="false"/>
                <w:smallCaps w:val="false"/>
              </w:rPr>
              <w:t> </w:t>
            </w:r>
          </w:p>
        </w:tc>
        <w:tc>
          <w:tcPr>
            <w:tcW w:w="1618"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86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w:t>
            </w:r>
          </w:p>
        </w:tc>
        <w:tc>
          <w:tcPr>
            <w:tcW w:w="1618"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861" w:type="dxa"/>
            <w:tcBorders/>
            <w:vAlign w:val="center"/>
          </w:tcPr>
          <w:p>
            <w:pPr>
              <w:pStyle w:val="TableContents"/>
              <w:bidi w:val="0"/>
              <w:spacing w:before="0" w:after="283"/>
              <w:jc w:val="left"/>
              <w:rPr>
                <w:caps w:val="false"/>
                <w:smallCaps w:val="false"/>
              </w:rPr>
            </w:pPr>
            <w:r>
              <w:rPr>
                <w:caps w:val="false"/>
                <w:smallCaps w:val="false"/>
              </w:rPr>
              <w:t> </w:t>
            </w:r>
          </w:p>
        </w:tc>
        <w:tc>
          <w:tcPr>
            <w:tcW w:w="1618"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86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w:t>
            </w:r>
          </w:p>
        </w:tc>
        <w:tc>
          <w:tcPr>
            <w:tcW w:w="1618" w:type="dxa"/>
            <w:tcBorders/>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jc w:val="both"/>
        <w:rPr>
          <w:caps w:val="false"/>
          <w:smallCaps w:val="false"/>
        </w:rPr>
      </w:pPr>
      <w:r>
        <w:rPr>
          <w:caps w:val="false"/>
          <w:smallCaps w:val="false"/>
        </w:rPr>
        <w:t> </w:t>
      </w:r>
    </w:p>
    <w:p>
      <w:pPr>
        <w:pStyle w:val="TextBody"/>
        <w:bidi w:val="0"/>
        <w:spacing w:before="0" w:after="0"/>
        <w:jc w:val="center"/>
        <w:rPr>
          <w:bdr w:val="single" w:sz="12" w:space="1" w:color="000000"/>
        </w:rPr>
      </w:pPr>
      <w:r>
        <w:rPr>
          <w:bdr w:val="single" w:sz="12" w:space="1" w:color="000000"/>
        </w:rPr>
        <w:t>46</w:t>
      </w:r>
    </w:p>
    <w:p>
      <w:pPr>
        <w:pStyle w:val="TextBody"/>
        <w:bidi w:val="0"/>
        <w:spacing w:before="0" w:after="0"/>
        <w:ind w:left="0" w:right="0" w:hanging="0"/>
        <w:jc w:val="left"/>
        <w:rPr/>
      </w:pPr>
      <w:r>
        <w:rPr/>
        <w:t> </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CROSS-REFERENCE TABLE (1)</w:t>
      </w:r>
    </w:p>
    <w:p>
      <w:pPr>
        <w:pStyle w:val="TextBody"/>
        <w:bidi w:val="0"/>
        <w:jc w:val="both"/>
        <w:rPr>
          <w:caps w:val="false"/>
          <w:smallCaps w:val="false"/>
        </w:rPr>
      </w:pPr>
      <w:r>
        <w:rPr>
          <w:caps w:val="false"/>
          <w:smallCaps w:val="false"/>
        </w:rPr>
        <w:t> </w:t>
      </w:r>
    </w:p>
    <w:tbl>
      <w:tblPr>
        <w:tblW w:w="6145" w:type="dxa"/>
        <w:jc w:val="left"/>
        <w:tblInd w:w="0" w:type="dxa"/>
        <w:tblLayout w:type="fixed"/>
        <w:tblCellMar>
          <w:top w:w="0" w:type="dxa"/>
          <w:left w:w="0" w:type="dxa"/>
          <w:bottom w:w="28" w:type="dxa"/>
          <w:right w:w="0" w:type="dxa"/>
        </w:tblCellMar>
      </w:tblPr>
      <w:tblGrid>
        <w:gridCol w:w="4355"/>
        <w:gridCol w:w="60"/>
        <w:gridCol w:w="1730"/>
      </w:tblGrid>
      <w:tr>
        <w:trPr/>
        <w:tc>
          <w:tcPr>
            <w:tcW w:w="4355" w:type="dxa"/>
            <w:tcBorders>
              <w:bottom w:val="single" w:sz="12" w:space="0" w:color="000000"/>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Section of Trust Indenture Act of 1939, as Amended</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730" w:type="dxa"/>
            <w:tcBorders>
              <w:bottom w:val="single" w:sz="12" w:space="0" w:color="000000"/>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Section of Indenture</w:t>
            </w:r>
          </w:p>
        </w:tc>
      </w:tr>
      <w:tr>
        <w:trPr/>
        <w:tc>
          <w:tcPr>
            <w:tcW w:w="4355"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310(a)</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730"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7.09</w:t>
            </w:r>
          </w:p>
        </w:tc>
      </w:tr>
      <w:tr>
        <w:trPr/>
        <w:tc>
          <w:tcPr>
            <w:tcW w:w="4355"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310(b)</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730"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7.08</w:t>
            </w:r>
          </w:p>
        </w:tc>
      </w:tr>
      <w:tr>
        <w:trPr/>
        <w:tc>
          <w:tcPr>
            <w:tcW w:w="4355"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730"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7.10</w:t>
            </w:r>
          </w:p>
        </w:tc>
      </w:tr>
      <w:tr>
        <w:trPr/>
        <w:tc>
          <w:tcPr>
            <w:tcW w:w="4355"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310(c)</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730"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Inapplicable</w:t>
            </w:r>
          </w:p>
        </w:tc>
      </w:tr>
      <w:tr>
        <w:trPr/>
        <w:tc>
          <w:tcPr>
            <w:tcW w:w="4355"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311(a)</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730"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7.13</w:t>
            </w:r>
          </w:p>
        </w:tc>
      </w:tr>
      <w:tr>
        <w:trPr/>
        <w:tc>
          <w:tcPr>
            <w:tcW w:w="4355"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311(b)</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730"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7.13</w:t>
            </w:r>
          </w:p>
        </w:tc>
      </w:tr>
      <w:tr>
        <w:trPr/>
        <w:tc>
          <w:tcPr>
            <w:tcW w:w="4355"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73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4355"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311(c)</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730"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Inapplicable</w:t>
            </w:r>
          </w:p>
        </w:tc>
      </w:tr>
      <w:tr>
        <w:trPr/>
        <w:tc>
          <w:tcPr>
            <w:tcW w:w="4355"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312(a)</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730"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5.01</w:t>
            </w:r>
          </w:p>
        </w:tc>
      </w:tr>
      <w:tr>
        <w:trPr/>
        <w:tc>
          <w:tcPr>
            <w:tcW w:w="4355"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730"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5.02(a)</w:t>
            </w:r>
          </w:p>
        </w:tc>
      </w:tr>
      <w:tr>
        <w:trPr/>
        <w:tc>
          <w:tcPr>
            <w:tcW w:w="4355"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312(b)</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730"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5.02(c)</w:t>
            </w:r>
          </w:p>
        </w:tc>
      </w:tr>
      <w:tr>
        <w:trPr/>
        <w:tc>
          <w:tcPr>
            <w:tcW w:w="4355"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312(c)</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730"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5.02(c)</w:t>
            </w:r>
          </w:p>
        </w:tc>
      </w:tr>
      <w:tr>
        <w:trPr/>
        <w:tc>
          <w:tcPr>
            <w:tcW w:w="4355"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313(a)</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730"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5.04(a)</w:t>
            </w:r>
          </w:p>
        </w:tc>
      </w:tr>
      <w:tr>
        <w:trPr/>
        <w:tc>
          <w:tcPr>
            <w:tcW w:w="4355"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313(b)</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730"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5.04(b)</w:t>
            </w:r>
          </w:p>
        </w:tc>
      </w:tr>
      <w:tr>
        <w:trPr/>
        <w:tc>
          <w:tcPr>
            <w:tcW w:w="4355"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313(c)</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730"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5.04(a)</w:t>
            </w:r>
          </w:p>
        </w:tc>
      </w:tr>
      <w:tr>
        <w:trPr/>
        <w:tc>
          <w:tcPr>
            <w:tcW w:w="4355"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730"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5.04(b)</w:t>
            </w:r>
          </w:p>
        </w:tc>
      </w:tr>
      <w:tr>
        <w:trPr/>
        <w:tc>
          <w:tcPr>
            <w:tcW w:w="4355"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313(d)</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730"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5.04(c)</w:t>
            </w:r>
          </w:p>
        </w:tc>
      </w:tr>
      <w:tr>
        <w:trPr/>
        <w:tc>
          <w:tcPr>
            <w:tcW w:w="4355"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314(a)</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730"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5.03</w:t>
            </w:r>
          </w:p>
        </w:tc>
      </w:tr>
      <w:tr>
        <w:trPr/>
        <w:tc>
          <w:tcPr>
            <w:tcW w:w="4355"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730"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13.12</w:t>
            </w:r>
          </w:p>
        </w:tc>
      </w:tr>
      <w:tr>
        <w:trPr/>
        <w:tc>
          <w:tcPr>
            <w:tcW w:w="4355"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314(b)</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730"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Inapplicable</w:t>
            </w:r>
          </w:p>
        </w:tc>
      </w:tr>
      <w:tr>
        <w:trPr/>
        <w:tc>
          <w:tcPr>
            <w:tcW w:w="4355"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314(c)</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730"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13.07(a)</w:t>
            </w:r>
          </w:p>
        </w:tc>
      </w:tr>
      <w:tr>
        <w:trPr/>
        <w:tc>
          <w:tcPr>
            <w:tcW w:w="4355"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314(d)</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730"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Inapplicable</w:t>
            </w:r>
          </w:p>
        </w:tc>
      </w:tr>
      <w:tr>
        <w:trPr/>
        <w:tc>
          <w:tcPr>
            <w:tcW w:w="4355"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314(e)</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730"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13.07(b)</w:t>
            </w:r>
          </w:p>
        </w:tc>
      </w:tr>
      <w:tr>
        <w:trPr/>
        <w:tc>
          <w:tcPr>
            <w:tcW w:w="4355"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314(f)</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730"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Inapplicable</w:t>
            </w:r>
          </w:p>
        </w:tc>
      </w:tr>
      <w:tr>
        <w:trPr/>
        <w:tc>
          <w:tcPr>
            <w:tcW w:w="4355"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315(a)</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730"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7.01(a)</w:t>
            </w:r>
          </w:p>
        </w:tc>
      </w:tr>
      <w:tr>
        <w:trPr/>
        <w:tc>
          <w:tcPr>
            <w:tcW w:w="4355"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730"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7.01(b)</w:t>
            </w:r>
          </w:p>
        </w:tc>
      </w:tr>
      <w:tr>
        <w:trPr/>
        <w:tc>
          <w:tcPr>
            <w:tcW w:w="4355"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315(b)</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730"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7.14</w:t>
            </w:r>
          </w:p>
        </w:tc>
      </w:tr>
      <w:tr>
        <w:trPr/>
        <w:tc>
          <w:tcPr>
            <w:tcW w:w="4355"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315(c)</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730"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7.01</w:t>
            </w:r>
          </w:p>
        </w:tc>
      </w:tr>
      <w:tr>
        <w:trPr/>
        <w:tc>
          <w:tcPr>
            <w:tcW w:w="4355"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315(d)</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730"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7.01(b)</w:t>
            </w:r>
          </w:p>
        </w:tc>
      </w:tr>
      <w:tr>
        <w:trPr/>
        <w:tc>
          <w:tcPr>
            <w:tcW w:w="4355"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73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4355"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315(e)</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730"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6.07</w:t>
            </w:r>
          </w:p>
        </w:tc>
      </w:tr>
      <w:tr>
        <w:trPr/>
        <w:tc>
          <w:tcPr>
            <w:tcW w:w="4355"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316(a)</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730"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6.06</w:t>
            </w:r>
          </w:p>
        </w:tc>
      </w:tr>
      <w:tr>
        <w:trPr/>
        <w:tc>
          <w:tcPr>
            <w:tcW w:w="4355"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730"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8.04</w:t>
            </w:r>
          </w:p>
        </w:tc>
      </w:tr>
      <w:tr>
        <w:trPr/>
        <w:tc>
          <w:tcPr>
            <w:tcW w:w="4355"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316(b)</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730"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6.04</w:t>
            </w:r>
          </w:p>
        </w:tc>
      </w:tr>
      <w:tr>
        <w:trPr/>
        <w:tc>
          <w:tcPr>
            <w:tcW w:w="4355"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316(c)</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730"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8.01</w:t>
            </w:r>
          </w:p>
        </w:tc>
      </w:tr>
      <w:tr>
        <w:trPr/>
        <w:tc>
          <w:tcPr>
            <w:tcW w:w="4355"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317(a)</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730"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6.02</w:t>
            </w:r>
          </w:p>
        </w:tc>
      </w:tr>
      <w:tr>
        <w:trPr/>
        <w:tc>
          <w:tcPr>
            <w:tcW w:w="4355"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317(b)</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730"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4.03</w:t>
            </w:r>
          </w:p>
        </w:tc>
      </w:tr>
      <w:tr>
        <w:trPr/>
        <w:tc>
          <w:tcPr>
            <w:tcW w:w="4355"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318(a)</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730"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13.09</w:t>
            </w:r>
          </w:p>
        </w:tc>
      </w:tr>
    </w:tbl>
    <w:p>
      <w:pPr>
        <w:pStyle w:val="TextBody"/>
        <w:bidi w:val="0"/>
        <w:ind w:left="720" w:right="0" w:hanging="72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31"/>
        <w:gridCol w:w="9936"/>
      </w:tblGrid>
      <w:tr>
        <w:trPr/>
        <w:tc>
          <w:tcPr>
            <w:tcW w:w="38"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w:t>
            </w:r>
          </w:p>
        </w:tc>
        <w:tc>
          <w:tcPr>
            <w:tcW w:w="9936"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This Cross-Reference Table does not constitute part of the Indenture and shall not have any bearing on the interpretation of any of its terms or provisions.</w:t>
            </w:r>
          </w:p>
        </w:tc>
      </w:tr>
    </w:tbl>
    <w:p>
      <w:pPr>
        <w:pStyle w:val="TextBody"/>
        <w:bidi w:val="0"/>
        <w:jc w:val="center"/>
        <w:rPr>
          <w:caps w:val="false"/>
          <w:smallCaps w:val="false"/>
        </w:rPr>
      </w:pPr>
      <w:r>
        <w:rPr>
          <w:caps w:val="false"/>
          <w:smallCaps w:val="false"/>
        </w:rPr>
        <w:t> </w:t>
      </w:r>
    </w:p>
    <w:p>
      <w:pPr>
        <w:pStyle w:val="TextBody"/>
        <w:bidi w:val="0"/>
        <w:jc w:val="center"/>
        <w:rPr>
          <w:caps w:val="false"/>
          <w:smallCaps w:val="false"/>
        </w:rPr>
      </w:pPr>
      <w:r>
        <w:rPr>
          <w:caps w:val="false"/>
          <w:smallCaps w:val="false"/>
        </w:rPr>
        <w:t> </w:t>
      </w:r>
    </w:p>
    <w:p>
      <w:pPr>
        <w:pStyle w:val="TextBody"/>
        <w:bidi w:val="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47</w:t>
      </w:r>
    </w:p>
    <w:p>
      <w:pPr>
        <w:pStyle w:val="TextBody"/>
        <w:bidi w:val="0"/>
        <w:ind w:left="720" w:right="0" w:hanging="720"/>
        <w:jc w:val="left"/>
        <w:rPr>
          <w:bdr w:val="single" w:sz="12" w:space="1" w:color="000000"/>
        </w:rPr>
      </w:pPr>
      <w:r>
        <w:rPr>
          <w:bdr w:val="single" w:sz="12" w:space="1" w:color="000000"/>
        </w:rPr>
        <w:t> </w:t>
      </w:r>
    </w:p>
    <w:p>
      <w:pPr>
        <w:pStyle w:val="TextBody"/>
        <w:bidi w:val="0"/>
        <w:ind w:left="720" w:right="0" w:hanging="720"/>
        <w:jc w:val="left"/>
        <w:rPr>
          <w:caps w:val="false"/>
          <w:smallCaps w:val="false"/>
        </w:rPr>
      </w:pPr>
      <w:r>
        <w:rPr>
          <w:caps w:val="false"/>
          <w:smallCaps w:val="false"/>
        </w:rPr>
        <w:t> </w:t>
      </w:r>
    </w:p>
    <w:p>
      <w:pPr>
        <w:pStyle w:val="TextBody"/>
        <w:bidi w:val="0"/>
        <w:jc w:val="right"/>
        <w:rPr>
          <w:b/>
        </w:rPr>
      </w:pPr>
      <w:bookmarkStart w:id="110" w:name="ea030223901ex4-7.htm"/>
      <w:bookmarkStart w:id="111" w:name="ksea030223901ex47"/>
      <w:bookmarkEnd w:id="110"/>
      <w:bookmarkEnd w:id="111"/>
      <w:r>
        <w:rPr>
          <w:b/>
        </w:rPr>
        <w:t>Exhibit 4.7</w:t>
      </w:r>
      <w:r>
        <w:br w:type="page"/>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NIKI BIOSOLUTIONS, INC.</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Issuer</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AND</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[TRUSTEE]</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Trustee</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INDENTURE</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Dated as of [●], 20[●]</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Subordinated Debt Securities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bdr w:val="single" w:sz="12" w:space="1" w:color="000000"/>
        </w:rPr>
      </w:pPr>
      <w:r>
        <w:rPr>
          <w:bdr w:val="single" w:sz="12"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TABLE OF CONTENTS</w:t>
      </w:r>
    </w:p>
    <w:p>
      <w:pPr>
        <w:pStyle w:val="TextBody"/>
        <w:bidi w:val="0"/>
        <w:spacing w:before="0" w:after="0"/>
        <w:ind w:left="0" w:right="0" w:hanging="0"/>
        <w:jc w:val="center"/>
        <w:rPr>
          <w:caps w:val="false"/>
          <w:smallCaps w:val="false"/>
        </w:rPr>
      </w:pPr>
      <w:r>
        <w:rPr>
          <w:caps w:val="false"/>
          <w:smallCaps w:val="false"/>
        </w:rPr>
        <w:t> </w:t>
      </w:r>
    </w:p>
    <w:tbl>
      <w:tblPr>
        <w:tblW w:w="9549" w:type="dxa"/>
        <w:jc w:val="left"/>
        <w:tblInd w:w="0" w:type="dxa"/>
        <w:tblLayout w:type="fixed"/>
        <w:tblCellMar>
          <w:top w:w="0" w:type="dxa"/>
          <w:left w:w="0" w:type="dxa"/>
          <w:bottom w:w="0" w:type="dxa"/>
          <w:right w:w="0" w:type="dxa"/>
        </w:tblCellMar>
      </w:tblPr>
      <w:tblGrid>
        <w:gridCol w:w="1455"/>
        <w:gridCol w:w="7849"/>
        <w:gridCol w:w="245"/>
      </w:tblGrid>
      <w:tr>
        <w:trPr/>
        <w:tc>
          <w:tcPr>
            <w:tcW w:w="9304" w:type="dxa"/>
            <w:gridSpan w:val="2"/>
            <w:tcBorders/>
            <w:shd w:fill="CCEEFF" w:val="clear"/>
            <w:vAlign w:val="center"/>
          </w:tcPr>
          <w:p>
            <w:pPr>
              <w:pStyle w:val="TableContents"/>
              <w:bidi w:val="0"/>
              <w:spacing w:before="0" w:after="283"/>
              <w:jc w:val="left"/>
              <w:rPr/>
            </w:pPr>
            <w:hyperlink w:anchor="a_001">
              <w:r>
                <w:rPr>
                  <w:rStyle w:val="InternetLink"/>
                  <w:rFonts w:ascii="Times New Roman;Times;Serif" w:hAnsi="Times New Roman;Times;Serif"/>
                  <w:sz w:val="20"/>
                </w:rPr>
                <w:t>ARTICLE 1 DEFINITIONS</w:t>
              </w:r>
            </w:hyperlink>
          </w:p>
        </w:tc>
        <w:tc>
          <w:tcPr>
            <w:tcW w:w="245"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w:t>
            </w:r>
          </w:p>
        </w:tc>
      </w:tr>
      <w:tr>
        <w:trPr/>
        <w:tc>
          <w:tcPr>
            <w:tcW w:w="9304" w:type="dxa"/>
            <w:gridSpan w:val="2"/>
            <w:tcBorders/>
            <w:shd w:fill="FFFFFF" w:val="clear"/>
            <w:vAlign w:val="center"/>
          </w:tcPr>
          <w:p>
            <w:pPr>
              <w:pStyle w:val="TableContents"/>
              <w:bidi w:val="0"/>
              <w:spacing w:before="0" w:after="283"/>
              <w:jc w:val="left"/>
              <w:rPr/>
            </w:pPr>
            <w:r>
              <w:rPr/>
              <w:t> </w:t>
            </w:r>
          </w:p>
        </w:tc>
        <w:tc>
          <w:tcPr>
            <w:tcW w:w="245" w:type="dxa"/>
            <w:tcBorders/>
            <w:shd w:fill="FFFFFF" w:val="clear"/>
            <w:vAlign w:val="center"/>
          </w:tcPr>
          <w:p>
            <w:pPr>
              <w:pStyle w:val="TableContents"/>
              <w:bidi w:val="0"/>
              <w:spacing w:before="0" w:after="283"/>
              <w:jc w:val="center"/>
              <w:rPr/>
            </w:pPr>
            <w:r>
              <w:rPr/>
              <w:t> </w:t>
            </w:r>
          </w:p>
        </w:tc>
      </w:tr>
      <w:tr>
        <w:trPr/>
        <w:tc>
          <w:tcPr>
            <w:tcW w:w="145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1.01</w:t>
            </w:r>
          </w:p>
        </w:tc>
        <w:tc>
          <w:tcPr>
            <w:tcW w:w="7849" w:type="dxa"/>
            <w:tcBorders/>
            <w:shd w:fill="CCEEFF" w:val="clear"/>
            <w:vAlign w:val="center"/>
          </w:tcPr>
          <w:p>
            <w:pPr>
              <w:pStyle w:val="TableContents"/>
              <w:bidi w:val="0"/>
              <w:spacing w:before="0" w:after="283"/>
              <w:jc w:val="left"/>
              <w:rPr/>
            </w:pPr>
            <w:hyperlink w:anchor="a_002">
              <w:r>
                <w:rPr>
                  <w:rStyle w:val="InternetLink"/>
                  <w:rFonts w:ascii="Times New Roman;Times;Serif" w:hAnsi="Times New Roman;Times;Serif"/>
                  <w:sz w:val="20"/>
                </w:rPr>
                <w:t>Definitions of Terms.</w:t>
              </w:r>
            </w:hyperlink>
          </w:p>
        </w:tc>
        <w:tc>
          <w:tcPr>
            <w:tcW w:w="245"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w:t>
            </w:r>
          </w:p>
        </w:tc>
      </w:tr>
      <w:tr>
        <w:trPr/>
        <w:tc>
          <w:tcPr>
            <w:tcW w:w="1455" w:type="dxa"/>
            <w:tcBorders/>
            <w:shd w:fill="FFFFFF" w:val="clear"/>
            <w:vAlign w:val="center"/>
          </w:tcPr>
          <w:p>
            <w:pPr>
              <w:pStyle w:val="TableContents"/>
              <w:bidi w:val="0"/>
              <w:spacing w:before="0" w:after="283"/>
              <w:jc w:val="left"/>
              <w:rPr/>
            </w:pPr>
            <w:r>
              <w:rPr/>
              <w:t> </w:t>
            </w:r>
          </w:p>
        </w:tc>
        <w:tc>
          <w:tcPr>
            <w:tcW w:w="7849" w:type="dxa"/>
            <w:tcBorders/>
            <w:shd w:fill="FFFFFF" w:val="clear"/>
            <w:vAlign w:val="center"/>
          </w:tcPr>
          <w:p>
            <w:pPr>
              <w:pStyle w:val="TableContents"/>
              <w:bidi w:val="0"/>
              <w:spacing w:before="0" w:after="283"/>
              <w:jc w:val="left"/>
              <w:rPr/>
            </w:pPr>
            <w:r>
              <w:rPr/>
              <w:t> </w:t>
            </w:r>
          </w:p>
        </w:tc>
        <w:tc>
          <w:tcPr>
            <w:tcW w:w="245" w:type="dxa"/>
            <w:tcBorders/>
            <w:shd w:fill="FFFFFF" w:val="clear"/>
            <w:vAlign w:val="center"/>
          </w:tcPr>
          <w:p>
            <w:pPr>
              <w:pStyle w:val="TableContents"/>
              <w:bidi w:val="0"/>
              <w:spacing w:before="0" w:after="283"/>
              <w:jc w:val="center"/>
              <w:rPr/>
            </w:pPr>
            <w:r>
              <w:rPr/>
              <w:t> </w:t>
            </w:r>
          </w:p>
        </w:tc>
      </w:tr>
      <w:tr>
        <w:trPr/>
        <w:tc>
          <w:tcPr>
            <w:tcW w:w="9304" w:type="dxa"/>
            <w:gridSpan w:val="2"/>
            <w:tcBorders/>
            <w:shd w:fill="CCEEFF" w:val="clear"/>
            <w:vAlign w:val="center"/>
          </w:tcPr>
          <w:p>
            <w:pPr>
              <w:pStyle w:val="TableContents"/>
              <w:bidi w:val="0"/>
              <w:spacing w:before="0" w:after="283"/>
              <w:jc w:val="left"/>
              <w:rPr/>
            </w:pPr>
            <w:hyperlink w:anchor="a_003">
              <w:r>
                <w:rPr>
                  <w:rStyle w:val="InternetLink"/>
                  <w:rFonts w:ascii="Times New Roman;Times;Serif" w:hAnsi="Times New Roman;Times;Serif"/>
                  <w:sz w:val="20"/>
                </w:rPr>
                <w:t>ARTICLE 2 ISSUE, DESCRIPTION, TERMS, EXECUTION, REGISTRATION AND EXCHANGE OF SECURITIES</w:t>
              </w:r>
            </w:hyperlink>
          </w:p>
        </w:tc>
        <w:tc>
          <w:tcPr>
            <w:tcW w:w="245"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4</w:t>
            </w:r>
          </w:p>
        </w:tc>
      </w:tr>
      <w:tr>
        <w:trPr/>
        <w:tc>
          <w:tcPr>
            <w:tcW w:w="145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2.01</w:t>
            </w:r>
          </w:p>
        </w:tc>
        <w:tc>
          <w:tcPr>
            <w:tcW w:w="7849" w:type="dxa"/>
            <w:tcBorders/>
            <w:shd w:fill="FFFFFF" w:val="clear"/>
            <w:vAlign w:val="center"/>
          </w:tcPr>
          <w:p>
            <w:pPr>
              <w:pStyle w:val="TableContents"/>
              <w:bidi w:val="0"/>
              <w:spacing w:before="0" w:after="283"/>
              <w:jc w:val="left"/>
              <w:rPr/>
            </w:pPr>
            <w:hyperlink w:anchor="a_004">
              <w:r>
                <w:rPr>
                  <w:rStyle w:val="InternetLink"/>
                  <w:rFonts w:ascii="Times New Roman;Times;Serif" w:hAnsi="Times New Roman;Times;Serif"/>
                  <w:sz w:val="20"/>
                </w:rPr>
                <w:t>Designation and Terms of Securities.</w:t>
              </w:r>
            </w:hyperlink>
          </w:p>
        </w:tc>
        <w:tc>
          <w:tcPr>
            <w:tcW w:w="245" w:type="dxa"/>
            <w:tcBorders/>
            <w:shd w:fill="FFFF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4</w:t>
            </w:r>
          </w:p>
        </w:tc>
      </w:tr>
      <w:tr>
        <w:trPr/>
        <w:tc>
          <w:tcPr>
            <w:tcW w:w="145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2.02</w:t>
            </w:r>
          </w:p>
        </w:tc>
        <w:tc>
          <w:tcPr>
            <w:tcW w:w="7849" w:type="dxa"/>
            <w:tcBorders/>
            <w:shd w:fill="CCEEFF" w:val="clear"/>
            <w:vAlign w:val="center"/>
          </w:tcPr>
          <w:p>
            <w:pPr>
              <w:pStyle w:val="TableContents"/>
              <w:bidi w:val="0"/>
              <w:spacing w:before="0" w:after="283"/>
              <w:jc w:val="left"/>
              <w:rPr/>
            </w:pPr>
            <w:hyperlink w:anchor="a_005">
              <w:r>
                <w:rPr>
                  <w:rStyle w:val="InternetLink"/>
                  <w:rFonts w:ascii="Times New Roman;Times;Serif" w:hAnsi="Times New Roman;Times;Serif"/>
                  <w:sz w:val="20"/>
                </w:rPr>
                <w:t>Form of Securities and Trustee’s Certificate.</w:t>
              </w:r>
            </w:hyperlink>
          </w:p>
        </w:tc>
        <w:tc>
          <w:tcPr>
            <w:tcW w:w="245"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6</w:t>
            </w:r>
          </w:p>
        </w:tc>
      </w:tr>
      <w:tr>
        <w:trPr/>
        <w:tc>
          <w:tcPr>
            <w:tcW w:w="145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2.03</w:t>
            </w:r>
          </w:p>
        </w:tc>
        <w:tc>
          <w:tcPr>
            <w:tcW w:w="7849" w:type="dxa"/>
            <w:tcBorders/>
            <w:shd w:fill="FFFFFF" w:val="clear"/>
            <w:vAlign w:val="center"/>
          </w:tcPr>
          <w:p>
            <w:pPr>
              <w:pStyle w:val="TableContents"/>
              <w:bidi w:val="0"/>
              <w:spacing w:before="0" w:after="283"/>
              <w:jc w:val="left"/>
              <w:rPr/>
            </w:pPr>
            <w:hyperlink w:anchor="a_006">
              <w:r>
                <w:rPr>
                  <w:rStyle w:val="InternetLink"/>
                  <w:rFonts w:ascii="Times New Roman;Times;Serif" w:hAnsi="Times New Roman;Times;Serif"/>
                  <w:sz w:val="20"/>
                </w:rPr>
                <w:t>Denominations: Provisions for Payment.</w:t>
              </w:r>
            </w:hyperlink>
          </w:p>
        </w:tc>
        <w:tc>
          <w:tcPr>
            <w:tcW w:w="245" w:type="dxa"/>
            <w:tcBorders/>
            <w:shd w:fill="FFFF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6</w:t>
            </w:r>
          </w:p>
        </w:tc>
      </w:tr>
      <w:tr>
        <w:trPr/>
        <w:tc>
          <w:tcPr>
            <w:tcW w:w="145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2.04</w:t>
            </w:r>
          </w:p>
        </w:tc>
        <w:tc>
          <w:tcPr>
            <w:tcW w:w="7849" w:type="dxa"/>
            <w:tcBorders/>
            <w:shd w:fill="CCEEFF" w:val="clear"/>
            <w:vAlign w:val="center"/>
          </w:tcPr>
          <w:p>
            <w:pPr>
              <w:pStyle w:val="TableContents"/>
              <w:bidi w:val="0"/>
              <w:spacing w:before="0" w:after="283"/>
              <w:jc w:val="left"/>
              <w:rPr/>
            </w:pPr>
            <w:hyperlink w:anchor="a_007">
              <w:r>
                <w:rPr>
                  <w:rStyle w:val="InternetLink"/>
                  <w:rFonts w:ascii="Times New Roman;Times;Serif" w:hAnsi="Times New Roman;Times;Serif"/>
                  <w:sz w:val="20"/>
                </w:rPr>
                <w:t>Execution and Authentication.</w:t>
              </w:r>
            </w:hyperlink>
          </w:p>
        </w:tc>
        <w:tc>
          <w:tcPr>
            <w:tcW w:w="245"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8</w:t>
            </w:r>
          </w:p>
        </w:tc>
      </w:tr>
      <w:tr>
        <w:trPr/>
        <w:tc>
          <w:tcPr>
            <w:tcW w:w="145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2.05</w:t>
            </w:r>
          </w:p>
        </w:tc>
        <w:tc>
          <w:tcPr>
            <w:tcW w:w="7849" w:type="dxa"/>
            <w:tcBorders/>
            <w:shd w:fill="FFFFFF" w:val="clear"/>
            <w:vAlign w:val="center"/>
          </w:tcPr>
          <w:p>
            <w:pPr>
              <w:pStyle w:val="TableContents"/>
              <w:bidi w:val="0"/>
              <w:spacing w:before="0" w:after="283"/>
              <w:jc w:val="left"/>
              <w:rPr/>
            </w:pPr>
            <w:hyperlink w:anchor="a_008">
              <w:r>
                <w:rPr>
                  <w:rStyle w:val="InternetLink"/>
                  <w:rFonts w:ascii="Times New Roman;Times;Serif" w:hAnsi="Times New Roman;Times;Serif"/>
                  <w:sz w:val="20"/>
                </w:rPr>
                <w:t>Registration of Transfer and Exchange.</w:t>
              </w:r>
            </w:hyperlink>
          </w:p>
        </w:tc>
        <w:tc>
          <w:tcPr>
            <w:tcW w:w="245" w:type="dxa"/>
            <w:tcBorders/>
            <w:shd w:fill="FFFF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8</w:t>
            </w:r>
          </w:p>
        </w:tc>
      </w:tr>
      <w:tr>
        <w:trPr/>
        <w:tc>
          <w:tcPr>
            <w:tcW w:w="145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2.06</w:t>
            </w:r>
          </w:p>
        </w:tc>
        <w:tc>
          <w:tcPr>
            <w:tcW w:w="7849" w:type="dxa"/>
            <w:tcBorders/>
            <w:shd w:fill="CCEEFF" w:val="clear"/>
            <w:vAlign w:val="center"/>
          </w:tcPr>
          <w:p>
            <w:pPr>
              <w:pStyle w:val="TableContents"/>
              <w:bidi w:val="0"/>
              <w:spacing w:before="0" w:after="283"/>
              <w:jc w:val="left"/>
              <w:rPr/>
            </w:pPr>
            <w:hyperlink w:anchor="a_009">
              <w:r>
                <w:rPr>
                  <w:rStyle w:val="InternetLink"/>
                  <w:rFonts w:ascii="Times New Roman;Times;Serif" w:hAnsi="Times New Roman;Times;Serif"/>
                  <w:sz w:val="20"/>
                </w:rPr>
                <w:t>Temporary Securities.</w:t>
              </w:r>
            </w:hyperlink>
          </w:p>
        </w:tc>
        <w:tc>
          <w:tcPr>
            <w:tcW w:w="245"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9</w:t>
            </w:r>
          </w:p>
        </w:tc>
      </w:tr>
      <w:tr>
        <w:trPr/>
        <w:tc>
          <w:tcPr>
            <w:tcW w:w="145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2.07</w:t>
            </w:r>
          </w:p>
        </w:tc>
        <w:tc>
          <w:tcPr>
            <w:tcW w:w="7849" w:type="dxa"/>
            <w:tcBorders/>
            <w:shd w:fill="FFFFFF" w:val="clear"/>
            <w:vAlign w:val="center"/>
          </w:tcPr>
          <w:p>
            <w:pPr>
              <w:pStyle w:val="TableContents"/>
              <w:bidi w:val="0"/>
              <w:spacing w:before="0" w:after="283"/>
              <w:jc w:val="left"/>
              <w:rPr/>
            </w:pPr>
            <w:hyperlink w:anchor="a_010">
              <w:r>
                <w:rPr>
                  <w:rStyle w:val="InternetLink"/>
                  <w:rFonts w:ascii="Times New Roman;Times;Serif" w:hAnsi="Times New Roman;Times;Serif"/>
                  <w:sz w:val="20"/>
                </w:rPr>
                <w:t>Mutilated, Destroyed, Lost or Stolen Securities.</w:t>
              </w:r>
            </w:hyperlink>
          </w:p>
        </w:tc>
        <w:tc>
          <w:tcPr>
            <w:tcW w:w="245" w:type="dxa"/>
            <w:tcBorders/>
            <w:shd w:fill="FFFF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10</w:t>
            </w:r>
          </w:p>
        </w:tc>
      </w:tr>
      <w:tr>
        <w:trPr/>
        <w:tc>
          <w:tcPr>
            <w:tcW w:w="145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2.08</w:t>
            </w:r>
          </w:p>
        </w:tc>
        <w:tc>
          <w:tcPr>
            <w:tcW w:w="7849" w:type="dxa"/>
            <w:tcBorders/>
            <w:shd w:fill="CCEEFF" w:val="clear"/>
            <w:vAlign w:val="center"/>
          </w:tcPr>
          <w:p>
            <w:pPr>
              <w:pStyle w:val="TableContents"/>
              <w:bidi w:val="0"/>
              <w:spacing w:before="0" w:after="283"/>
              <w:jc w:val="left"/>
              <w:rPr/>
            </w:pPr>
            <w:hyperlink w:anchor="a_011">
              <w:r>
                <w:rPr>
                  <w:rStyle w:val="InternetLink"/>
                  <w:rFonts w:ascii="Times New Roman;Times;Serif" w:hAnsi="Times New Roman;Times;Serif"/>
                  <w:sz w:val="20"/>
                </w:rPr>
                <w:t>Cancellation.</w:t>
              </w:r>
            </w:hyperlink>
          </w:p>
        </w:tc>
        <w:tc>
          <w:tcPr>
            <w:tcW w:w="245"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10</w:t>
            </w:r>
          </w:p>
        </w:tc>
      </w:tr>
      <w:tr>
        <w:trPr/>
        <w:tc>
          <w:tcPr>
            <w:tcW w:w="145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2.09</w:t>
            </w:r>
          </w:p>
        </w:tc>
        <w:tc>
          <w:tcPr>
            <w:tcW w:w="7849" w:type="dxa"/>
            <w:tcBorders/>
            <w:shd w:fill="FFFFFF" w:val="clear"/>
            <w:vAlign w:val="center"/>
          </w:tcPr>
          <w:p>
            <w:pPr>
              <w:pStyle w:val="TableContents"/>
              <w:bidi w:val="0"/>
              <w:spacing w:before="0" w:after="283"/>
              <w:jc w:val="left"/>
              <w:rPr/>
            </w:pPr>
            <w:hyperlink w:anchor="a_012">
              <w:r>
                <w:rPr>
                  <w:rStyle w:val="InternetLink"/>
                  <w:rFonts w:ascii="Times New Roman;Times;Serif" w:hAnsi="Times New Roman;Times;Serif"/>
                  <w:sz w:val="20"/>
                </w:rPr>
                <w:t>Benefits of Indenture.</w:t>
              </w:r>
            </w:hyperlink>
          </w:p>
        </w:tc>
        <w:tc>
          <w:tcPr>
            <w:tcW w:w="245" w:type="dxa"/>
            <w:tcBorders/>
            <w:shd w:fill="FFFF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10</w:t>
            </w:r>
          </w:p>
        </w:tc>
      </w:tr>
      <w:tr>
        <w:trPr/>
        <w:tc>
          <w:tcPr>
            <w:tcW w:w="145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2.10</w:t>
            </w:r>
          </w:p>
        </w:tc>
        <w:tc>
          <w:tcPr>
            <w:tcW w:w="7849" w:type="dxa"/>
            <w:tcBorders/>
            <w:shd w:fill="CCEEFF" w:val="clear"/>
            <w:vAlign w:val="center"/>
          </w:tcPr>
          <w:p>
            <w:pPr>
              <w:pStyle w:val="TableContents"/>
              <w:bidi w:val="0"/>
              <w:spacing w:before="0" w:after="283"/>
              <w:jc w:val="left"/>
              <w:rPr/>
            </w:pPr>
            <w:hyperlink w:anchor="a_013">
              <w:r>
                <w:rPr>
                  <w:rStyle w:val="InternetLink"/>
                  <w:rFonts w:ascii="Times New Roman;Times;Serif" w:hAnsi="Times New Roman;Times;Serif"/>
                  <w:sz w:val="20"/>
                </w:rPr>
                <w:t>Authenticating Agent.</w:t>
              </w:r>
            </w:hyperlink>
          </w:p>
        </w:tc>
        <w:tc>
          <w:tcPr>
            <w:tcW w:w="245"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11</w:t>
            </w:r>
          </w:p>
        </w:tc>
      </w:tr>
      <w:tr>
        <w:trPr/>
        <w:tc>
          <w:tcPr>
            <w:tcW w:w="145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2.11</w:t>
            </w:r>
          </w:p>
        </w:tc>
        <w:tc>
          <w:tcPr>
            <w:tcW w:w="7849" w:type="dxa"/>
            <w:tcBorders/>
            <w:shd w:fill="FFFFFF" w:val="clear"/>
            <w:vAlign w:val="center"/>
          </w:tcPr>
          <w:p>
            <w:pPr>
              <w:pStyle w:val="TableContents"/>
              <w:bidi w:val="0"/>
              <w:spacing w:before="0" w:after="283"/>
              <w:jc w:val="left"/>
              <w:rPr/>
            </w:pPr>
            <w:hyperlink w:anchor="a_014">
              <w:r>
                <w:rPr>
                  <w:rStyle w:val="InternetLink"/>
                  <w:rFonts w:ascii="Times New Roman;Times;Serif" w:hAnsi="Times New Roman;Times;Serif"/>
                  <w:sz w:val="20"/>
                </w:rPr>
                <w:t>Global Securities.</w:t>
              </w:r>
            </w:hyperlink>
          </w:p>
        </w:tc>
        <w:tc>
          <w:tcPr>
            <w:tcW w:w="245" w:type="dxa"/>
            <w:tcBorders/>
            <w:shd w:fill="FFFF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11</w:t>
            </w:r>
          </w:p>
        </w:tc>
      </w:tr>
      <w:tr>
        <w:trPr/>
        <w:tc>
          <w:tcPr>
            <w:tcW w:w="1455" w:type="dxa"/>
            <w:tcBorders/>
            <w:shd w:fill="CCEEFF" w:val="clear"/>
            <w:vAlign w:val="center"/>
          </w:tcPr>
          <w:p>
            <w:pPr>
              <w:pStyle w:val="TableContents"/>
              <w:bidi w:val="0"/>
              <w:spacing w:before="0" w:after="283"/>
              <w:jc w:val="left"/>
              <w:rPr/>
            </w:pPr>
            <w:r>
              <w:rPr/>
              <w:t> </w:t>
            </w:r>
          </w:p>
        </w:tc>
        <w:tc>
          <w:tcPr>
            <w:tcW w:w="7849" w:type="dxa"/>
            <w:tcBorders/>
            <w:shd w:fill="CCEEFF" w:val="clear"/>
            <w:vAlign w:val="center"/>
          </w:tcPr>
          <w:p>
            <w:pPr>
              <w:pStyle w:val="TableContents"/>
              <w:bidi w:val="0"/>
              <w:spacing w:before="0" w:after="283"/>
              <w:jc w:val="left"/>
              <w:rPr/>
            </w:pPr>
            <w:r>
              <w:rPr/>
              <w:t> </w:t>
            </w:r>
          </w:p>
        </w:tc>
        <w:tc>
          <w:tcPr>
            <w:tcW w:w="245" w:type="dxa"/>
            <w:tcBorders/>
            <w:shd w:fill="CCEEFF" w:val="clear"/>
            <w:vAlign w:val="center"/>
          </w:tcPr>
          <w:p>
            <w:pPr>
              <w:pStyle w:val="TableContents"/>
              <w:bidi w:val="0"/>
              <w:spacing w:before="0" w:after="283"/>
              <w:jc w:val="center"/>
              <w:rPr/>
            </w:pPr>
            <w:r>
              <w:rPr/>
              <w:t> </w:t>
            </w:r>
          </w:p>
        </w:tc>
      </w:tr>
      <w:tr>
        <w:trPr/>
        <w:tc>
          <w:tcPr>
            <w:tcW w:w="9304" w:type="dxa"/>
            <w:gridSpan w:val="2"/>
            <w:tcBorders/>
            <w:shd w:fill="FFFFFF" w:val="clear"/>
            <w:vAlign w:val="center"/>
          </w:tcPr>
          <w:p>
            <w:pPr>
              <w:pStyle w:val="TableContents"/>
              <w:bidi w:val="0"/>
              <w:spacing w:before="0" w:after="283"/>
              <w:jc w:val="left"/>
              <w:rPr/>
            </w:pPr>
            <w:hyperlink w:anchor="a_015">
              <w:r>
                <w:rPr>
                  <w:rStyle w:val="InternetLink"/>
                  <w:rFonts w:ascii="Times New Roman;Times;Serif" w:hAnsi="Times New Roman;Times;Serif"/>
                  <w:sz w:val="20"/>
                </w:rPr>
                <w:t>ARTICLE 3 REDEMPTION OF SECURITIES AND SINKING FUND PROVISIONS</w:t>
              </w:r>
            </w:hyperlink>
          </w:p>
        </w:tc>
        <w:tc>
          <w:tcPr>
            <w:tcW w:w="245" w:type="dxa"/>
            <w:tcBorders/>
            <w:shd w:fill="FFFF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12</w:t>
            </w:r>
          </w:p>
        </w:tc>
      </w:tr>
      <w:tr>
        <w:trPr/>
        <w:tc>
          <w:tcPr>
            <w:tcW w:w="145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3.01</w:t>
            </w:r>
          </w:p>
        </w:tc>
        <w:tc>
          <w:tcPr>
            <w:tcW w:w="7849" w:type="dxa"/>
            <w:tcBorders/>
            <w:shd w:fill="CCEEFF" w:val="clear"/>
            <w:vAlign w:val="center"/>
          </w:tcPr>
          <w:p>
            <w:pPr>
              <w:pStyle w:val="TableContents"/>
              <w:bidi w:val="0"/>
              <w:spacing w:before="0" w:after="283"/>
              <w:jc w:val="left"/>
              <w:rPr/>
            </w:pPr>
            <w:hyperlink w:anchor="a_016">
              <w:r>
                <w:rPr>
                  <w:rStyle w:val="InternetLink"/>
                  <w:rFonts w:ascii="Times New Roman;Times;Serif" w:hAnsi="Times New Roman;Times;Serif"/>
                  <w:sz w:val="20"/>
                </w:rPr>
                <w:t>Redemption.</w:t>
              </w:r>
            </w:hyperlink>
          </w:p>
        </w:tc>
        <w:tc>
          <w:tcPr>
            <w:tcW w:w="245"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12</w:t>
            </w:r>
          </w:p>
        </w:tc>
      </w:tr>
      <w:tr>
        <w:trPr/>
        <w:tc>
          <w:tcPr>
            <w:tcW w:w="145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3.02</w:t>
            </w:r>
          </w:p>
        </w:tc>
        <w:tc>
          <w:tcPr>
            <w:tcW w:w="7849" w:type="dxa"/>
            <w:tcBorders/>
            <w:shd w:fill="FFFFFF" w:val="clear"/>
            <w:vAlign w:val="center"/>
          </w:tcPr>
          <w:p>
            <w:pPr>
              <w:pStyle w:val="TableContents"/>
              <w:bidi w:val="0"/>
              <w:spacing w:before="0" w:after="283"/>
              <w:jc w:val="left"/>
              <w:rPr/>
            </w:pPr>
            <w:hyperlink w:anchor="a_017">
              <w:r>
                <w:rPr>
                  <w:rStyle w:val="InternetLink"/>
                  <w:rFonts w:ascii="Times New Roman;Times;Serif" w:hAnsi="Times New Roman;Times;Serif"/>
                  <w:sz w:val="20"/>
                </w:rPr>
                <w:t>Notice of Redemption.</w:t>
              </w:r>
            </w:hyperlink>
          </w:p>
        </w:tc>
        <w:tc>
          <w:tcPr>
            <w:tcW w:w="245" w:type="dxa"/>
            <w:tcBorders/>
            <w:shd w:fill="FFFF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12</w:t>
            </w:r>
          </w:p>
        </w:tc>
      </w:tr>
      <w:tr>
        <w:trPr/>
        <w:tc>
          <w:tcPr>
            <w:tcW w:w="145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3.03</w:t>
            </w:r>
          </w:p>
        </w:tc>
        <w:tc>
          <w:tcPr>
            <w:tcW w:w="7849" w:type="dxa"/>
            <w:tcBorders/>
            <w:shd w:fill="CCEEFF" w:val="clear"/>
            <w:vAlign w:val="center"/>
          </w:tcPr>
          <w:p>
            <w:pPr>
              <w:pStyle w:val="TableContents"/>
              <w:bidi w:val="0"/>
              <w:spacing w:before="0" w:after="283"/>
              <w:jc w:val="left"/>
              <w:rPr/>
            </w:pPr>
            <w:hyperlink w:anchor="a_018">
              <w:r>
                <w:rPr>
                  <w:rStyle w:val="InternetLink"/>
                  <w:rFonts w:ascii="Times New Roman;Times;Serif" w:hAnsi="Times New Roman;Times;Serif"/>
                  <w:sz w:val="20"/>
                </w:rPr>
                <w:t>Payment Upon Redemption.</w:t>
              </w:r>
            </w:hyperlink>
          </w:p>
        </w:tc>
        <w:tc>
          <w:tcPr>
            <w:tcW w:w="245"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13</w:t>
            </w:r>
          </w:p>
        </w:tc>
      </w:tr>
      <w:tr>
        <w:trPr/>
        <w:tc>
          <w:tcPr>
            <w:tcW w:w="145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3.04</w:t>
            </w:r>
          </w:p>
        </w:tc>
        <w:tc>
          <w:tcPr>
            <w:tcW w:w="7849" w:type="dxa"/>
            <w:tcBorders/>
            <w:shd w:fill="FFFFFF" w:val="clear"/>
            <w:vAlign w:val="center"/>
          </w:tcPr>
          <w:p>
            <w:pPr>
              <w:pStyle w:val="TableContents"/>
              <w:bidi w:val="0"/>
              <w:spacing w:before="0" w:after="283"/>
              <w:jc w:val="left"/>
              <w:rPr/>
            </w:pPr>
            <w:hyperlink w:anchor="a_019">
              <w:r>
                <w:rPr>
                  <w:rStyle w:val="InternetLink"/>
                  <w:rFonts w:ascii="Times New Roman;Times;Serif" w:hAnsi="Times New Roman;Times;Serif"/>
                  <w:sz w:val="20"/>
                </w:rPr>
                <w:t>Sinking Fund.</w:t>
              </w:r>
            </w:hyperlink>
          </w:p>
        </w:tc>
        <w:tc>
          <w:tcPr>
            <w:tcW w:w="245" w:type="dxa"/>
            <w:tcBorders/>
            <w:shd w:fill="FFFF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14</w:t>
            </w:r>
          </w:p>
        </w:tc>
      </w:tr>
      <w:tr>
        <w:trPr/>
        <w:tc>
          <w:tcPr>
            <w:tcW w:w="145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3.05</w:t>
            </w:r>
          </w:p>
        </w:tc>
        <w:tc>
          <w:tcPr>
            <w:tcW w:w="7849" w:type="dxa"/>
            <w:tcBorders/>
            <w:shd w:fill="CCEEFF" w:val="clear"/>
            <w:vAlign w:val="center"/>
          </w:tcPr>
          <w:p>
            <w:pPr>
              <w:pStyle w:val="TableContents"/>
              <w:bidi w:val="0"/>
              <w:spacing w:before="0" w:after="283"/>
              <w:jc w:val="left"/>
              <w:rPr/>
            </w:pPr>
            <w:hyperlink w:anchor="a_020">
              <w:r>
                <w:rPr>
                  <w:rStyle w:val="InternetLink"/>
                  <w:rFonts w:ascii="Times New Roman;Times;Serif" w:hAnsi="Times New Roman;Times;Serif"/>
                  <w:sz w:val="20"/>
                </w:rPr>
                <w:t>Satisfaction of Sinking Fund Payments with Securities.</w:t>
              </w:r>
            </w:hyperlink>
          </w:p>
        </w:tc>
        <w:tc>
          <w:tcPr>
            <w:tcW w:w="245"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14</w:t>
            </w:r>
          </w:p>
        </w:tc>
      </w:tr>
      <w:tr>
        <w:trPr/>
        <w:tc>
          <w:tcPr>
            <w:tcW w:w="145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3.06</w:t>
            </w:r>
          </w:p>
        </w:tc>
        <w:tc>
          <w:tcPr>
            <w:tcW w:w="7849" w:type="dxa"/>
            <w:tcBorders/>
            <w:shd w:fill="FFFFFF" w:val="clear"/>
            <w:vAlign w:val="center"/>
          </w:tcPr>
          <w:p>
            <w:pPr>
              <w:pStyle w:val="TableContents"/>
              <w:bidi w:val="0"/>
              <w:spacing w:before="0" w:after="283"/>
              <w:jc w:val="left"/>
              <w:rPr/>
            </w:pPr>
            <w:hyperlink w:anchor="a_021">
              <w:r>
                <w:rPr>
                  <w:rStyle w:val="InternetLink"/>
                  <w:rFonts w:ascii="Times New Roman;Times;Serif" w:hAnsi="Times New Roman;Times;Serif"/>
                  <w:sz w:val="20"/>
                </w:rPr>
                <w:t>Redemption of Securities for Sinking Fund.</w:t>
              </w:r>
            </w:hyperlink>
          </w:p>
        </w:tc>
        <w:tc>
          <w:tcPr>
            <w:tcW w:w="245" w:type="dxa"/>
            <w:tcBorders/>
            <w:shd w:fill="FFFF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14</w:t>
            </w:r>
          </w:p>
        </w:tc>
      </w:tr>
      <w:tr>
        <w:trPr/>
        <w:tc>
          <w:tcPr>
            <w:tcW w:w="1455" w:type="dxa"/>
            <w:tcBorders/>
            <w:shd w:fill="CCEEFF" w:val="clear"/>
            <w:vAlign w:val="center"/>
          </w:tcPr>
          <w:p>
            <w:pPr>
              <w:pStyle w:val="TableContents"/>
              <w:bidi w:val="0"/>
              <w:spacing w:before="0" w:after="283"/>
              <w:jc w:val="left"/>
              <w:rPr/>
            </w:pPr>
            <w:r>
              <w:rPr/>
              <w:t> </w:t>
            </w:r>
          </w:p>
        </w:tc>
        <w:tc>
          <w:tcPr>
            <w:tcW w:w="7849" w:type="dxa"/>
            <w:tcBorders/>
            <w:shd w:fill="CCEEFF" w:val="clear"/>
            <w:vAlign w:val="center"/>
          </w:tcPr>
          <w:p>
            <w:pPr>
              <w:pStyle w:val="TableContents"/>
              <w:bidi w:val="0"/>
              <w:spacing w:before="0" w:after="283"/>
              <w:jc w:val="left"/>
              <w:rPr/>
            </w:pPr>
            <w:r>
              <w:rPr/>
              <w:t> </w:t>
            </w:r>
          </w:p>
        </w:tc>
        <w:tc>
          <w:tcPr>
            <w:tcW w:w="245" w:type="dxa"/>
            <w:tcBorders/>
            <w:shd w:fill="CCEEFF" w:val="clear"/>
            <w:vAlign w:val="center"/>
          </w:tcPr>
          <w:p>
            <w:pPr>
              <w:pStyle w:val="TableContents"/>
              <w:bidi w:val="0"/>
              <w:spacing w:before="0" w:after="283"/>
              <w:jc w:val="center"/>
              <w:rPr/>
            </w:pPr>
            <w:r>
              <w:rPr/>
              <w:t> </w:t>
            </w:r>
          </w:p>
        </w:tc>
      </w:tr>
      <w:tr>
        <w:trPr/>
        <w:tc>
          <w:tcPr>
            <w:tcW w:w="9304" w:type="dxa"/>
            <w:gridSpan w:val="2"/>
            <w:tcBorders/>
            <w:shd w:fill="FFFFFF" w:val="clear"/>
            <w:vAlign w:val="center"/>
          </w:tcPr>
          <w:p>
            <w:pPr>
              <w:pStyle w:val="TableContents"/>
              <w:bidi w:val="0"/>
              <w:spacing w:before="0" w:after="283"/>
              <w:jc w:val="left"/>
              <w:rPr/>
            </w:pPr>
            <w:hyperlink w:anchor="a_022">
              <w:r>
                <w:rPr>
                  <w:rStyle w:val="InternetLink"/>
                  <w:rFonts w:ascii="Times New Roman;Times;Serif" w:hAnsi="Times New Roman;Times;Serif"/>
                  <w:sz w:val="20"/>
                </w:rPr>
                <w:t>ARTICLE 4 COVENANTS</w:t>
              </w:r>
            </w:hyperlink>
          </w:p>
        </w:tc>
        <w:tc>
          <w:tcPr>
            <w:tcW w:w="245" w:type="dxa"/>
            <w:tcBorders/>
            <w:shd w:fill="FFFF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14</w:t>
            </w:r>
          </w:p>
        </w:tc>
      </w:tr>
      <w:tr>
        <w:trPr/>
        <w:tc>
          <w:tcPr>
            <w:tcW w:w="145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4.01</w:t>
            </w:r>
          </w:p>
        </w:tc>
        <w:tc>
          <w:tcPr>
            <w:tcW w:w="7849" w:type="dxa"/>
            <w:tcBorders/>
            <w:shd w:fill="CCEEFF" w:val="clear"/>
            <w:vAlign w:val="center"/>
          </w:tcPr>
          <w:p>
            <w:pPr>
              <w:pStyle w:val="TableContents"/>
              <w:bidi w:val="0"/>
              <w:spacing w:before="0" w:after="283"/>
              <w:jc w:val="left"/>
              <w:rPr/>
            </w:pPr>
            <w:hyperlink w:anchor="a_023">
              <w:r>
                <w:rPr>
                  <w:rStyle w:val="InternetLink"/>
                  <w:rFonts w:ascii="Times New Roman;Times;Serif" w:hAnsi="Times New Roman;Times;Serif"/>
                  <w:sz w:val="20"/>
                </w:rPr>
                <w:t>Payment of Principal, Premium and Interest.</w:t>
              </w:r>
            </w:hyperlink>
          </w:p>
        </w:tc>
        <w:tc>
          <w:tcPr>
            <w:tcW w:w="245"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14</w:t>
            </w:r>
          </w:p>
        </w:tc>
      </w:tr>
      <w:tr>
        <w:trPr/>
        <w:tc>
          <w:tcPr>
            <w:tcW w:w="145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4.02</w:t>
            </w:r>
          </w:p>
        </w:tc>
        <w:tc>
          <w:tcPr>
            <w:tcW w:w="7849" w:type="dxa"/>
            <w:tcBorders/>
            <w:shd w:fill="FFFFFF" w:val="clear"/>
            <w:vAlign w:val="center"/>
          </w:tcPr>
          <w:p>
            <w:pPr>
              <w:pStyle w:val="TableContents"/>
              <w:bidi w:val="0"/>
              <w:spacing w:before="0" w:after="283"/>
              <w:jc w:val="left"/>
              <w:rPr/>
            </w:pPr>
            <w:hyperlink w:anchor="a_024">
              <w:r>
                <w:rPr>
                  <w:rStyle w:val="InternetLink"/>
                  <w:rFonts w:ascii="Times New Roman;Times;Serif" w:hAnsi="Times New Roman;Times;Serif"/>
                  <w:sz w:val="20"/>
                </w:rPr>
                <w:t>Maintenance of Office or Agency.</w:t>
              </w:r>
            </w:hyperlink>
          </w:p>
        </w:tc>
        <w:tc>
          <w:tcPr>
            <w:tcW w:w="245" w:type="dxa"/>
            <w:tcBorders/>
            <w:shd w:fill="FFFF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15</w:t>
            </w:r>
          </w:p>
        </w:tc>
      </w:tr>
      <w:tr>
        <w:trPr/>
        <w:tc>
          <w:tcPr>
            <w:tcW w:w="145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4.03</w:t>
            </w:r>
          </w:p>
        </w:tc>
        <w:tc>
          <w:tcPr>
            <w:tcW w:w="7849" w:type="dxa"/>
            <w:tcBorders/>
            <w:shd w:fill="CCEEFF" w:val="clear"/>
            <w:vAlign w:val="center"/>
          </w:tcPr>
          <w:p>
            <w:pPr>
              <w:pStyle w:val="TableContents"/>
              <w:bidi w:val="0"/>
              <w:spacing w:before="0" w:after="283"/>
              <w:jc w:val="left"/>
              <w:rPr/>
            </w:pPr>
            <w:hyperlink w:anchor="a_025">
              <w:r>
                <w:rPr>
                  <w:rStyle w:val="InternetLink"/>
                  <w:rFonts w:ascii="Times New Roman;Times;Serif" w:hAnsi="Times New Roman;Times;Serif"/>
                  <w:sz w:val="20"/>
                </w:rPr>
                <w:t>Paying Agents.</w:t>
              </w:r>
            </w:hyperlink>
          </w:p>
        </w:tc>
        <w:tc>
          <w:tcPr>
            <w:tcW w:w="245"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15</w:t>
            </w:r>
          </w:p>
        </w:tc>
      </w:tr>
      <w:tr>
        <w:trPr/>
        <w:tc>
          <w:tcPr>
            <w:tcW w:w="145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4.04</w:t>
            </w:r>
          </w:p>
        </w:tc>
        <w:tc>
          <w:tcPr>
            <w:tcW w:w="7849" w:type="dxa"/>
            <w:tcBorders/>
            <w:shd w:fill="FFFFFF" w:val="clear"/>
            <w:vAlign w:val="center"/>
          </w:tcPr>
          <w:p>
            <w:pPr>
              <w:pStyle w:val="TableContents"/>
              <w:bidi w:val="0"/>
              <w:spacing w:before="0" w:after="283"/>
              <w:jc w:val="left"/>
              <w:rPr/>
            </w:pPr>
            <w:hyperlink w:anchor="a_026">
              <w:r>
                <w:rPr>
                  <w:rStyle w:val="InternetLink"/>
                  <w:rFonts w:ascii="Times New Roman;Times;Serif" w:hAnsi="Times New Roman;Times;Serif"/>
                  <w:sz w:val="20"/>
                </w:rPr>
                <w:t>Appointment to Fill Vacancy in Office of Trustee.</w:t>
              </w:r>
            </w:hyperlink>
          </w:p>
        </w:tc>
        <w:tc>
          <w:tcPr>
            <w:tcW w:w="245" w:type="dxa"/>
            <w:tcBorders/>
            <w:shd w:fill="FFFF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16</w:t>
            </w:r>
          </w:p>
        </w:tc>
      </w:tr>
      <w:tr>
        <w:trPr/>
        <w:tc>
          <w:tcPr>
            <w:tcW w:w="145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4.05</w:t>
            </w:r>
          </w:p>
        </w:tc>
        <w:tc>
          <w:tcPr>
            <w:tcW w:w="7849" w:type="dxa"/>
            <w:tcBorders/>
            <w:shd w:fill="CCEEFF" w:val="clear"/>
            <w:vAlign w:val="center"/>
          </w:tcPr>
          <w:p>
            <w:pPr>
              <w:pStyle w:val="TableContents"/>
              <w:bidi w:val="0"/>
              <w:spacing w:before="0" w:after="283"/>
              <w:jc w:val="left"/>
              <w:rPr/>
            </w:pPr>
            <w:hyperlink w:anchor="a_027">
              <w:r>
                <w:rPr>
                  <w:rStyle w:val="InternetLink"/>
                  <w:rFonts w:ascii="Times New Roman;Times;Serif" w:hAnsi="Times New Roman;Times;Serif"/>
                  <w:sz w:val="20"/>
                </w:rPr>
                <w:t>Compliance with Consolidation Provisions.</w:t>
              </w:r>
            </w:hyperlink>
          </w:p>
        </w:tc>
        <w:tc>
          <w:tcPr>
            <w:tcW w:w="245"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16</w:t>
            </w:r>
          </w:p>
        </w:tc>
      </w:tr>
      <w:tr>
        <w:trPr/>
        <w:tc>
          <w:tcPr>
            <w:tcW w:w="1455" w:type="dxa"/>
            <w:tcBorders/>
            <w:shd w:fill="FFFFFF" w:val="clear"/>
            <w:vAlign w:val="center"/>
          </w:tcPr>
          <w:p>
            <w:pPr>
              <w:pStyle w:val="TableContents"/>
              <w:bidi w:val="0"/>
              <w:spacing w:before="0" w:after="283"/>
              <w:jc w:val="left"/>
              <w:rPr/>
            </w:pPr>
            <w:r>
              <w:rPr/>
              <w:t> </w:t>
            </w:r>
          </w:p>
        </w:tc>
        <w:tc>
          <w:tcPr>
            <w:tcW w:w="7849" w:type="dxa"/>
            <w:tcBorders/>
            <w:shd w:fill="FFFFFF" w:val="clear"/>
            <w:vAlign w:val="center"/>
          </w:tcPr>
          <w:p>
            <w:pPr>
              <w:pStyle w:val="TableContents"/>
              <w:bidi w:val="0"/>
              <w:spacing w:before="0" w:after="283"/>
              <w:jc w:val="left"/>
              <w:rPr/>
            </w:pPr>
            <w:r>
              <w:rPr/>
              <w:t> </w:t>
            </w:r>
          </w:p>
        </w:tc>
        <w:tc>
          <w:tcPr>
            <w:tcW w:w="245" w:type="dxa"/>
            <w:tcBorders/>
            <w:shd w:fill="FFFFFF" w:val="clear"/>
            <w:vAlign w:val="center"/>
          </w:tcPr>
          <w:p>
            <w:pPr>
              <w:pStyle w:val="TableContents"/>
              <w:bidi w:val="0"/>
              <w:spacing w:before="0" w:after="283"/>
              <w:jc w:val="center"/>
              <w:rPr/>
            </w:pPr>
            <w:r>
              <w:rPr/>
              <w:t> </w:t>
            </w:r>
          </w:p>
        </w:tc>
      </w:tr>
      <w:tr>
        <w:trPr/>
        <w:tc>
          <w:tcPr>
            <w:tcW w:w="9304" w:type="dxa"/>
            <w:gridSpan w:val="2"/>
            <w:tcBorders/>
            <w:shd w:fill="CCEEFF" w:val="clear"/>
            <w:vAlign w:val="center"/>
          </w:tcPr>
          <w:p>
            <w:pPr>
              <w:pStyle w:val="TableContents"/>
              <w:bidi w:val="0"/>
              <w:spacing w:before="0" w:after="283"/>
              <w:jc w:val="left"/>
              <w:rPr/>
            </w:pPr>
            <w:hyperlink w:anchor="a_028">
              <w:r>
                <w:rPr>
                  <w:rStyle w:val="InternetLink"/>
                  <w:rFonts w:ascii="Times New Roman;Times;Serif" w:hAnsi="Times New Roman;Times;Serif"/>
                  <w:sz w:val="20"/>
                </w:rPr>
                <w:t>ARTICLE 5 SECURITYHOLDERS’ LISTS AND REPORTS BY THE COMPANY AND THE TRUSTEE</w:t>
              </w:r>
            </w:hyperlink>
          </w:p>
        </w:tc>
        <w:tc>
          <w:tcPr>
            <w:tcW w:w="245"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16</w:t>
            </w:r>
          </w:p>
        </w:tc>
      </w:tr>
      <w:tr>
        <w:trPr/>
        <w:tc>
          <w:tcPr>
            <w:tcW w:w="145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5.01</w:t>
            </w:r>
          </w:p>
        </w:tc>
        <w:tc>
          <w:tcPr>
            <w:tcW w:w="7849" w:type="dxa"/>
            <w:tcBorders/>
            <w:shd w:fill="FFFFFF" w:val="clear"/>
            <w:vAlign w:val="center"/>
          </w:tcPr>
          <w:p>
            <w:pPr>
              <w:pStyle w:val="TableContents"/>
              <w:bidi w:val="0"/>
              <w:spacing w:before="0" w:after="283"/>
              <w:jc w:val="left"/>
              <w:rPr/>
            </w:pPr>
            <w:hyperlink w:anchor="a_029">
              <w:r>
                <w:rPr>
                  <w:rStyle w:val="InternetLink"/>
                  <w:rFonts w:ascii="Times New Roman;Times;Serif" w:hAnsi="Times New Roman;Times;Serif"/>
                  <w:sz w:val="20"/>
                </w:rPr>
                <w:t>Company to Furnish Trustee Names and Addresses of Securityholders.</w:t>
              </w:r>
            </w:hyperlink>
          </w:p>
        </w:tc>
        <w:tc>
          <w:tcPr>
            <w:tcW w:w="245" w:type="dxa"/>
            <w:tcBorders/>
            <w:shd w:fill="FFFF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16</w:t>
            </w:r>
          </w:p>
        </w:tc>
      </w:tr>
      <w:tr>
        <w:trPr/>
        <w:tc>
          <w:tcPr>
            <w:tcW w:w="145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5.02</w:t>
            </w:r>
          </w:p>
        </w:tc>
        <w:tc>
          <w:tcPr>
            <w:tcW w:w="7849" w:type="dxa"/>
            <w:tcBorders/>
            <w:shd w:fill="CCEEFF" w:val="clear"/>
            <w:vAlign w:val="center"/>
          </w:tcPr>
          <w:p>
            <w:pPr>
              <w:pStyle w:val="TableContents"/>
              <w:bidi w:val="0"/>
              <w:spacing w:before="0" w:after="283"/>
              <w:jc w:val="left"/>
              <w:rPr/>
            </w:pPr>
            <w:hyperlink w:anchor="a_030">
              <w:r>
                <w:rPr>
                  <w:rStyle w:val="InternetLink"/>
                  <w:rFonts w:ascii="Times New Roman;Times;Serif" w:hAnsi="Times New Roman;Times;Serif"/>
                  <w:sz w:val="20"/>
                </w:rPr>
                <w:t>Preservation Of Information; Communications With Securityholders.</w:t>
              </w:r>
            </w:hyperlink>
          </w:p>
        </w:tc>
        <w:tc>
          <w:tcPr>
            <w:tcW w:w="245"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16</w:t>
            </w:r>
          </w:p>
        </w:tc>
      </w:tr>
      <w:tr>
        <w:trPr/>
        <w:tc>
          <w:tcPr>
            <w:tcW w:w="145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5.03</w:t>
            </w:r>
          </w:p>
        </w:tc>
        <w:tc>
          <w:tcPr>
            <w:tcW w:w="7849" w:type="dxa"/>
            <w:tcBorders/>
            <w:shd w:fill="FFFFFF" w:val="clear"/>
            <w:vAlign w:val="center"/>
          </w:tcPr>
          <w:p>
            <w:pPr>
              <w:pStyle w:val="TableContents"/>
              <w:bidi w:val="0"/>
              <w:spacing w:before="0" w:after="283"/>
              <w:jc w:val="left"/>
              <w:rPr/>
            </w:pPr>
            <w:hyperlink w:anchor="a_031">
              <w:r>
                <w:rPr>
                  <w:rStyle w:val="InternetLink"/>
                  <w:rFonts w:ascii="Times New Roman;Times;Serif" w:hAnsi="Times New Roman;Times;Serif"/>
                  <w:sz w:val="20"/>
                </w:rPr>
                <w:t>Reports by the Company.</w:t>
              </w:r>
            </w:hyperlink>
          </w:p>
        </w:tc>
        <w:tc>
          <w:tcPr>
            <w:tcW w:w="245" w:type="dxa"/>
            <w:tcBorders/>
            <w:shd w:fill="FFFF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17</w:t>
            </w:r>
          </w:p>
        </w:tc>
      </w:tr>
      <w:tr>
        <w:trPr/>
        <w:tc>
          <w:tcPr>
            <w:tcW w:w="145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5.04</w:t>
            </w:r>
          </w:p>
        </w:tc>
        <w:tc>
          <w:tcPr>
            <w:tcW w:w="7849" w:type="dxa"/>
            <w:tcBorders/>
            <w:shd w:fill="CCEEFF" w:val="clear"/>
            <w:vAlign w:val="center"/>
          </w:tcPr>
          <w:p>
            <w:pPr>
              <w:pStyle w:val="TableContents"/>
              <w:bidi w:val="0"/>
              <w:spacing w:before="0" w:after="283"/>
              <w:jc w:val="left"/>
              <w:rPr/>
            </w:pPr>
            <w:hyperlink w:anchor="a_032">
              <w:r>
                <w:rPr>
                  <w:rStyle w:val="InternetLink"/>
                  <w:rFonts w:ascii="Times New Roman;Times;Serif" w:hAnsi="Times New Roman;Times;Serif"/>
                  <w:sz w:val="20"/>
                </w:rPr>
                <w:t>Reports by the Trustee.</w:t>
              </w:r>
            </w:hyperlink>
          </w:p>
        </w:tc>
        <w:tc>
          <w:tcPr>
            <w:tcW w:w="245"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17</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bdr w:val="single" w:sz="12" w:space="1" w:color="000000"/>
        </w:rPr>
      </w:pPr>
      <w:r>
        <w:rPr>
          <w:bdr w:val="single" w:sz="12" w:space="1" w:color="000000"/>
        </w:rPr>
        <w:t>i</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8394" w:type="dxa"/>
        <w:jc w:val="left"/>
        <w:tblInd w:w="0" w:type="dxa"/>
        <w:tblLayout w:type="fixed"/>
        <w:tblCellMar>
          <w:top w:w="0" w:type="dxa"/>
          <w:left w:w="0" w:type="dxa"/>
          <w:bottom w:w="0" w:type="dxa"/>
          <w:right w:w="0" w:type="dxa"/>
        </w:tblCellMar>
      </w:tblPr>
      <w:tblGrid>
        <w:gridCol w:w="1492"/>
        <w:gridCol w:w="6657"/>
        <w:gridCol w:w="245"/>
      </w:tblGrid>
      <w:tr>
        <w:trPr/>
        <w:tc>
          <w:tcPr>
            <w:tcW w:w="8149" w:type="dxa"/>
            <w:gridSpan w:val="2"/>
            <w:tcBorders/>
            <w:shd w:fill="CCEEFF" w:val="clear"/>
            <w:vAlign w:val="center"/>
          </w:tcPr>
          <w:p>
            <w:pPr>
              <w:pStyle w:val="TableContents"/>
              <w:bidi w:val="0"/>
              <w:spacing w:before="0" w:after="283"/>
              <w:jc w:val="left"/>
              <w:rPr/>
            </w:pPr>
            <w:hyperlink w:anchor="a_033">
              <w:r>
                <w:rPr>
                  <w:rStyle w:val="InternetLink"/>
                  <w:rFonts w:ascii="Times New Roman;Times;Serif" w:hAnsi="Times New Roman;Times;Serif"/>
                  <w:sz w:val="20"/>
                </w:rPr>
                <w:t>ARTICLE 6 REMEDIES OF THE TRUSTEE AND SECURITYHOLDERS ON EVENT OF DEFAULT</w:t>
              </w:r>
            </w:hyperlink>
          </w:p>
        </w:tc>
        <w:tc>
          <w:tcPr>
            <w:tcW w:w="245"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17</w:t>
            </w:r>
          </w:p>
        </w:tc>
      </w:tr>
      <w:tr>
        <w:trPr/>
        <w:tc>
          <w:tcPr>
            <w:tcW w:w="1492"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6.01</w:t>
            </w:r>
          </w:p>
        </w:tc>
        <w:tc>
          <w:tcPr>
            <w:tcW w:w="6657" w:type="dxa"/>
            <w:tcBorders/>
            <w:shd w:fill="FFFFFF" w:val="clear"/>
            <w:vAlign w:val="center"/>
          </w:tcPr>
          <w:p>
            <w:pPr>
              <w:pStyle w:val="TableContents"/>
              <w:bidi w:val="0"/>
              <w:spacing w:before="0" w:after="283"/>
              <w:jc w:val="left"/>
              <w:rPr/>
            </w:pPr>
            <w:hyperlink w:anchor="a_034">
              <w:r>
                <w:rPr>
                  <w:rStyle w:val="InternetLink"/>
                  <w:rFonts w:ascii="Times New Roman;Times;Serif" w:hAnsi="Times New Roman;Times;Serif"/>
                  <w:sz w:val="20"/>
                </w:rPr>
                <w:t>Events of Default.</w:t>
              </w:r>
            </w:hyperlink>
          </w:p>
        </w:tc>
        <w:tc>
          <w:tcPr>
            <w:tcW w:w="245" w:type="dxa"/>
            <w:tcBorders/>
            <w:shd w:fill="FFFF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17</w:t>
            </w:r>
          </w:p>
        </w:tc>
      </w:tr>
      <w:tr>
        <w:trPr/>
        <w:tc>
          <w:tcPr>
            <w:tcW w:w="1492"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6.02</w:t>
            </w:r>
          </w:p>
        </w:tc>
        <w:tc>
          <w:tcPr>
            <w:tcW w:w="6657" w:type="dxa"/>
            <w:tcBorders/>
            <w:shd w:fill="CCEEFF" w:val="clear"/>
            <w:vAlign w:val="center"/>
          </w:tcPr>
          <w:p>
            <w:pPr>
              <w:pStyle w:val="TableContents"/>
              <w:bidi w:val="0"/>
              <w:spacing w:before="0" w:after="283"/>
              <w:jc w:val="left"/>
              <w:rPr/>
            </w:pPr>
            <w:hyperlink w:anchor="a_035">
              <w:r>
                <w:rPr>
                  <w:rStyle w:val="InternetLink"/>
                  <w:rFonts w:ascii="Times New Roman;Times;Serif" w:hAnsi="Times New Roman;Times;Serif"/>
                  <w:sz w:val="20"/>
                </w:rPr>
                <w:t>Collection of Indebtedness and Suits for Enforcement by Trustee.</w:t>
              </w:r>
            </w:hyperlink>
          </w:p>
        </w:tc>
        <w:tc>
          <w:tcPr>
            <w:tcW w:w="245"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19</w:t>
            </w:r>
          </w:p>
        </w:tc>
      </w:tr>
      <w:tr>
        <w:trPr/>
        <w:tc>
          <w:tcPr>
            <w:tcW w:w="1492"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6.03</w:t>
            </w:r>
          </w:p>
        </w:tc>
        <w:tc>
          <w:tcPr>
            <w:tcW w:w="6657" w:type="dxa"/>
            <w:tcBorders/>
            <w:shd w:fill="FFFFFF" w:val="clear"/>
            <w:vAlign w:val="center"/>
          </w:tcPr>
          <w:p>
            <w:pPr>
              <w:pStyle w:val="TableContents"/>
              <w:bidi w:val="0"/>
              <w:spacing w:before="0" w:after="283"/>
              <w:jc w:val="left"/>
              <w:rPr/>
            </w:pPr>
            <w:hyperlink w:anchor="a_036">
              <w:r>
                <w:rPr>
                  <w:rStyle w:val="InternetLink"/>
                  <w:rFonts w:ascii="Times New Roman;Times;Serif" w:hAnsi="Times New Roman;Times;Serif"/>
                  <w:sz w:val="20"/>
                </w:rPr>
                <w:t>Application of Moneys or Property Collected.</w:t>
              </w:r>
            </w:hyperlink>
          </w:p>
        </w:tc>
        <w:tc>
          <w:tcPr>
            <w:tcW w:w="245" w:type="dxa"/>
            <w:tcBorders/>
            <w:shd w:fill="FFFF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20</w:t>
            </w:r>
          </w:p>
        </w:tc>
      </w:tr>
      <w:tr>
        <w:trPr/>
        <w:tc>
          <w:tcPr>
            <w:tcW w:w="1492"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6.04</w:t>
            </w:r>
          </w:p>
        </w:tc>
        <w:tc>
          <w:tcPr>
            <w:tcW w:w="6657" w:type="dxa"/>
            <w:tcBorders/>
            <w:shd w:fill="CCEEFF" w:val="clear"/>
            <w:vAlign w:val="center"/>
          </w:tcPr>
          <w:p>
            <w:pPr>
              <w:pStyle w:val="TableContents"/>
              <w:bidi w:val="0"/>
              <w:spacing w:before="0" w:after="283"/>
              <w:jc w:val="left"/>
              <w:rPr/>
            </w:pPr>
            <w:hyperlink w:anchor="a_037">
              <w:r>
                <w:rPr>
                  <w:rStyle w:val="InternetLink"/>
                  <w:rFonts w:ascii="Times New Roman;Times;Serif" w:hAnsi="Times New Roman;Times;Serif"/>
                  <w:sz w:val="20"/>
                </w:rPr>
                <w:t>Limitation on Suits.</w:t>
              </w:r>
            </w:hyperlink>
          </w:p>
        </w:tc>
        <w:tc>
          <w:tcPr>
            <w:tcW w:w="245"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20</w:t>
            </w:r>
          </w:p>
        </w:tc>
      </w:tr>
      <w:tr>
        <w:trPr/>
        <w:tc>
          <w:tcPr>
            <w:tcW w:w="1492"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6.05</w:t>
            </w:r>
          </w:p>
        </w:tc>
        <w:tc>
          <w:tcPr>
            <w:tcW w:w="6657" w:type="dxa"/>
            <w:tcBorders/>
            <w:shd w:fill="FFFFFF" w:val="clear"/>
            <w:vAlign w:val="center"/>
          </w:tcPr>
          <w:p>
            <w:pPr>
              <w:pStyle w:val="TableContents"/>
              <w:bidi w:val="0"/>
              <w:spacing w:before="0" w:after="283"/>
              <w:jc w:val="left"/>
              <w:rPr/>
            </w:pPr>
            <w:hyperlink w:anchor="a_038">
              <w:r>
                <w:rPr>
                  <w:rStyle w:val="InternetLink"/>
                  <w:rFonts w:ascii="Times New Roman;Times;Serif" w:hAnsi="Times New Roman;Times;Serif"/>
                  <w:sz w:val="20"/>
                </w:rPr>
                <w:t>Rights and Remedies Cumulative; Delay or Omission Not Waiver.</w:t>
              </w:r>
            </w:hyperlink>
          </w:p>
        </w:tc>
        <w:tc>
          <w:tcPr>
            <w:tcW w:w="245" w:type="dxa"/>
            <w:tcBorders/>
            <w:shd w:fill="FFFF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21</w:t>
            </w:r>
          </w:p>
        </w:tc>
      </w:tr>
      <w:tr>
        <w:trPr/>
        <w:tc>
          <w:tcPr>
            <w:tcW w:w="1492"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6.06</w:t>
            </w:r>
          </w:p>
        </w:tc>
        <w:tc>
          <w:tcPr>
            <w:tcW w:w="6657" w:type="dxa"/>
            <w:tcBorders/>
            <w:shd w:fill="CCEEFF" w:val="clear"/>
            <w:vAlign w:val="center"/>
          </w:tcPr>
          <w:p>
            <w:pPr>
              <w:pStyle w:val="TableContents"/>
              <w:bidi w:val="0"/>
              <w:spacing w:before="0" w:after="283"/>
              <w:jc w:val="left"/>
              <w:rPr/>
            </w:pPr>
            <w:hyperlink w:anchor="a_039">
              <w:r>
                <w:rPr>
                  <w:rStyle w:val="InternetLink"/>
                  <w:rFonts w:ascii="Times New Roman;Times;Serif" w:hAnsi="Times New Roman;Times;Serif"/>
                  <w:sz w:val="20"/>
                </w:rPr>
                <w:t>Control by Securityholders.</w:t>
              </w:r>
            </w:hyperlink>
          </w:p>
        </w:tc>
        <w:tc>
          <w:tcPr>
            <w:tcW w:w="245"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21</w:t>
            </w:r>
          </w:p>
        </w:tc>
      </w:tr>
      <w:tr>
        <w:trPr/>
        <w:tc>
          <w:tcPr>
            <w:tcW w:w="1492"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6.07</w:t>
            </w:r>
          </w:p>
        </w:tc>
        <w:tc>
          <w:tcPr>
            <w:tcW w:w="6657" w:type="dxa"/>
            <w:tcBorders/>
            <w:shd w:fill="FFFFFF" w:val="clear"/>
            <w:vAlign w:val="center"/>
          </w:tcPr>
          <w:p>
            <w:pPr>
              <w:pStyle w:val="TableContents"/>
              <w:bidi w:val="0"/>
              <w:spacing w:before="0" w:after="283"/>
              <w:jc w:val="left"/>
              <w:rPr/>
            </w:pPr>
            <w:hyperlink w:anchor="a_040">
              <w:r>
                <w:rPr>
                  <w:rStyle w:val="InternetLink"/>
                  <w:rFonts w:ascii="Times New Roman;Times;Serif" w:hAnsi="Times New Roman;Times;Serif"/>
                  <w:sz w:val="20"/>
                </w:rPr>
                <w:t>Undertaking to Pay Costs.</w:t>
              </w:r>
            </w:hyperlink>
          </w:p>
        </w:tc>
        <w:tc>
          <w:tcPr>
            <w:tcW w:w="245" w:type="dxa"/>
            <w:tcBorders/>
            <w:shd w:fill="FFFF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22</w:t>
            </w:r>
          </w:p>
        </w:tc>
      </w:tr>
      <w:tr>
        <w:trPr/>
        <w:tc>
          <w:tcPr>
            <w:tcW w:w="1492" w:type="dxa"/>
            <w:tcBorders/>
            <w:shd w:fill="CCEEFF" w:val="clear"/>
            <w:vAlign w:val="center"/>
          </w:tcPr>
          <w:p>
            <w:pPr>
              <w:pStyle w:val="TableContents"/>
              <w:bidi w:val="0"/>
              <w:spacing w:before="0" w:after="283"/>
              <w:jc w:val="left"/>
              <w:rPr/>
            </w:pPr>
            <w:r>
              <w:rPr/>
              <w:t> </w:t>
            </w:r>
          </w:p>
        </w:tc>
        <w:tc>
          <w:tcPr>
            <w:tcW w:w="6657" w:type="dxa"/>
            <w:tcBorders/>
            <w:shd w:fill="CCEEFF" w:val="clear"/>
            <w:vAlign w:val="center"/>
          </w:tcPr>
          <w:p>
            <w:pPr>
              <w:pStyle w:val="TableContents"/>
              <w:bidi w:val="0"/>
              <w:spacing w:before="0" w:after="283"/>
              <w:jc w:val="left"/>
              <w:rPr/>
            </w:pPr>
            <w:r>
              <w:rPr/>
              <w:t> </w:t>
            </w:r>
          </w:p>
        </w:tc>
        <w:tc>
          <w:tcPr>
            <w:tcW w:w="245" w:type="dxa"/>
            <w:tcBorders/>
            <w:shd w:fill="CCEEFF" w:val="clear"/>
            <w:vAlign w:val="center"/>
          </w:tcPr>
          <w:p>
            <w:pPr>
              <w:pStyle w:val="TableContents"/>
              <w:bidi w:val="0"/>
              <w:spacing w:before="0" w:after="283"/>
              <w:jc w:val="center"/>
              <w:rPr/>
            </w:pPr>
            <w:r>
              <w:rPr/>
              <w:t> </w:t>
            </w:r>
          </w:p>
        </w:tc>
      </w:tr>
      <w:tr>
        <w:trPr/>
        <w:tc>
          <w:tcPr>
            <w:tcW w:w="8149" w:type="dxa"/>
            <w:gridSpan w:val="2"/>
            <w:tcBorders/>
            <w:shd w:fill="FFFFFF" w:val="clear"/>
            <w:vAlign w:val="center"/>
          </w:tcPr>
          <w:p>
            <w:pPr>
              <w:pStyle w:val="TableContents"/>
              <w:bidi w:val="0"/>
              <w:spacing w:before="0" w:after="283"/>
              <w:jc w:val="left"/>
              <w:rPr/>
            </w:pPr>
            <w:hyperlink w:anchor="a_041">
              <w:r>
                <w:rPr>
                  <w:rStyle w:val="InternetLink"/>
                  <w:rFonts w:ascii="Times New Roman;Times;Serif" w:hAnsi="Times New Roman;Times;Serif"/>
                  <w:sz w:val="20"/>
                </w:rPr>
                <w:t>ARTICLE 7 CONCERNING THE TRUSTEE</w:t>
              </w:r>
            </w:hyperlink>
          </w:p>
        </w:tc>
        <w:tc>
          <w:tcPr>
            <w:tcW w:w="245" w:type="dxa"/>
            <w:tcBorders/>
            <w:shd w:fill="FFFF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22</w:t>
            </w:r>
          </w:p>
        </w:tc>
      </w:tr>
      <w:tr>
        <w:trPr/>
        <w:tc>
          <w:tcPr>
            <w:tcW w:w="1492"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7.01</w:t>
            </w:r>
          </w:p>
        </w:tc>
        <w:tc>
          <w:tcPr>
            <w:tcW w:w="6657" w:type="dxa"/>
            <w:tcBorders/>
            <w:shd w:fill="CCEEFF" w:val="clear"/>
            <w:vAlign w:val="center"/>
          </w:tcPr>
          <w:p>
            <w:pPr>
              <w:pStyle w:val="TableContents"/>
              <w:bidi w:val="0"/>
              <w:spacing w:before="0" w:after="283"/>
              <w:jc w:val="left"/>
              <w:rPr/>
            </w:pPr>
            <w:hyperlink w:anchor="a_042">
              <w:r>
                <w:rPr>
                  <w:rStyle w:val="InternetLink"/>
                  <w:rFonts w:ascii="Times New Roman;Times;Serif" w:hAnsi="Times New Roman;Times;Serif"/>
                  <w:sz w:val="20"/>
                </w:rPr>
                <w:t>Certain Duties and Responsibilities of Trustee.</w:t>
              </w:r>
            </w:hyperlink>
          </w:p>
        </w:tc>
        <w:tc>
          <w:tcPr>
            <w:tcW w:w="245"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22</w:t>
            </w:r>
          </w:p>
        </w:tc>
      </w:tr>
      <w:tr>
        <w:trPr/>
        <w:tc>
          <w:tcPr>
            <w:tcW w:w="1492"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7.02</w:t>
            </w:r>
          </w:p>
        </w:tc>
        <w:tc>
          <w:tcPr>
            <w:tcW w:w="6657" w:type="dxa"/>
            <w:tcBorders/>
            <w:shd w:fill="FFFFFF" w:val="clear"/>
            <w:vAlign w:val="center"/>
          </w:tcPr>
          <w:p>
            <w:pPr>
              <w:pStyle w:val="TableContents"/>
              <w:bidi w:val="0"/>
              <w:spacing w:before="0" w:after="283"/>
              <w:jc w:val="left"/>
              <w:rPr/>
            </w:pPr>
            <w:hyperlink w:anchor="a_043">
              <w:r>
                <w:rPr>
                  <w:rStyle w:val="InternetLink"/>
                  <w:rFonts w:ascii="Times New Roman;Times;Serif" w:hAnsi="Times New Roman;Times;Serif"/>
                  <w:sz w:val="20"/>
                </w:rPr>
                <w:t>Certain Rights of Trustee.</w:t>
              </w:r>
            </w:hyperlink>
          </w:p>
        </w:tc>
        <w:tc>
          <w:tcPr>
            <w:tcW w:w="245" w:type="dxa"/>
            <w:tcBorders/>
            <w:shd w:fill="FFFF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23</w:t>
            </w:r>
          </w:p>
        </w:tc>
      </w:tr>
      <w:tr>
        <w:trPr/>
        <w:tc>
          <w:tcPr>
            <w:tcW w:w="1492"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7.03</w:t>
            </w:r>
          </w:p>
        </w:tc>
        <w:tc>
          <w:tcPr>
            <w:tcW w:w="6657" w:type="dxa"/>
            <w:tcBorders/>
            <w:shd w:fill="CCEEFF" w:val="clear"/>
            <w:vAlign w:val="center"/>
          </w:tcPr>
          <w:p>
            <w:pPr>
              <w:pStyle w:val="TableContents"/>
              <w:bidi w:val="0"/>
              <w:spacing w:before="0" w:after="283"/>
              <w:jc w:val="left"/>
              <w:rPr/>
            </w:pPr>
            <w:hyperlink w:anchor="a_044">
              <w:r>
                <w:rPr>
                  <w:rStyle w:val="InternetLink"/>
                  <w:rFonts w:ascii="Times New Roman;Times;Serif" w:hAnsi="Times New Roman;Times;Serif"/>
                  <w:sz w:val="20"/>
                </w:rPr>
                <w:t>Trustee Not Responsible for Recitals or Issuance or Securities.</w:t>
              </w:r>
            </w:hyperlink>
          </w:p>
        </w:tc>
        <w:tc>
          <w:tcPr>
            <w:tcW w:w="245"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24</w:t>
            </w:r>
          </w:p>
        </w:tc>
      </w:tr>
      <w:tr>
        <w:trPr/>
        <w:tc>
          <w:tcPr>
            <w:tcW w:w="1492"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7.04</w:t>
            </w:r>
          </w:p>
        </w:tc>
        <w:tc>
          <w:tcPr>
            <w:tcW w:w="6657" w:type="dxa"/>
            <w:tcBorders/>
            <w:shd w:fill="FFFFFF" w:val="clear"/>
            <w:vAlign w:val="center"/>
          </w:tcPr>
          <w:p>
            <w:pPr>
              <w:pStyle w:val="TableContents"/>
              <w:bidi w:val="0"/>
              <w:spacing w:before="0" w:after="283"/>
              <w:jc w:val="left"/>
              <w:rPr/>
            </w:pPr>
            <w:hyperlink w:anchor="a_045">
              <w:r>
                <w:rPr>
                  <w:rStyle w:val="InternetLink"/>
                  <w:rFonts w:ascii="Times New Roman;Times;Serif" w:hAnsi="Times New Roman;Times;Serif"/>
                  <w:sz w:val="20"/>
                </w:rPr>
                <w:t>May Hold Securities.</w:t>
              </w:r>
            </w:hyperlink>
          </w:p>
        </w:tc>
        <w:tc>
          <w:tcPr>
            <w:tcW w:w="245" w:type="dxa"/>
            <w:tcBorders/>
            <w:shd w:fill="FFFF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24</w:t>
            </w:r>
          </w:p>
        </w:tc>
      </w:tr>
      <w:tr>
        <w:trPr/>
        <w:tc>
          <w:tcPr>
            <w:tcW w:w="1492"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7.05</w:t>
            </w:r>
          </w:p>
        </w:tc>
        <w:tc>
          <w:tcPr>
            <w:tcW w:w="6657" w:type="dxa"/>
            <w:tcBorders/>
            <w:shd w:fill="CCEEFF" w:val="clear"/>
            <w:vAlign w:val="center"/>
          </w:tcPr>
          <w:p>
            <w:pPr>
              <w:pStyle w:val="TableContents"/>
              <w:bidi w:val="0"/>
              <w:spacing w:before="0" w:after="283"/>
              <w:jc w:val="left"/>
              <w:rPr/>
            </w:pPr>
            <w:hyperlink w:anchor="a_046">
              <w:r>
                <w:rPr>
                  <w:rStyle w:val="InternetLink"/>
                  <w:rFonts w:ascii="Times New Roman;Times;Serif" w:hAnsi="Times New Roman;Times;Serif"/>
                  <w:sz w:val="20"/>
                </w:rPr>
                <w:t>Moneys Held in Trust.</w:t>
              </w:r>
            </w:hyperlink>
          </w:p>
        </w:tc>
        <w:tc>
          <w:tcPr>
            <w:tcW w:w="245"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25</w:t>
            </w:r>
          </w:p>
        </w:tc>
      </w:tr>
      <w:tr>
        <w:trPr/>
        <w:tc>
          <w:tcPr>
            <w:tcW w:w="1492"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7.06</w:t>
            </w:r>
          </w:p>
        </w:tc>
        <w:tc>
          <w:tcPr>
            <w:tcW w:w="6657" w:type="dxa"/>
            <w:tcBorders/>
            <w:shd w:fill="FFFFFF" w:val="clear"/>
            <w:vAlign w:val="center"/>
          </w:tcPr>
          <w:p>
            <w:pPr>
              <w:pStyle w:val="TableContents"/>
              <w:bidi w:val="0"/>
              <w:spacing w:before="0" w:after="283"/>
              <w:jc w:val="left"/>
              <w:rPr/>
            </w:pPr>
            <w:hyperlink w:anchor="a_047">
              <w:r>
                <w:rPr>
                  <w:rStyle w:val="InternetLink"/>
                  <w:rFonts w:ascii="Times New Roman;Times;Serif" w:hAnsi="Times New Roman;Times;Serif"/>
                  <w:sz w:val="20"/>
                </w:rPr>
                <w:t>Compensation and Reimbursement.</w:t>
              </w:r>
            </w:hyperlink>
          </w:p>
        </w:tc>
        <w:tc>
          <w:tcPr>
            <w:tcW w:w="245" w:type="dxa"/>
            <w:tcBorders/>
            <w:shd w:fill="FFFF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25</w:t>
            </w:r>
          </w:p>
        </w:tc>
      </w:tr>
      <w:tr>
        <w:trPr/>
        <w:tc>
          <w:tcPr>
            <w:tcW w:w="1492"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7.07</w:t>
            </w:r>
          </w:p>
        </w:tc>
        <w:tc>
          <w:tcPr>
            <w:tcW w:w="6657" w:type="dxa"/>
            <w:tcBorders/>
            <w:shd w:fill="CCEEFF" w:val="clear"/>
            <w:vAlign w:val="center"/>
          </w:tcPr>
          <w:p>
            <w:pPr>
              <w:pStyle w:val="TableContents"/>
              <w:bidi w:val="0"/>
              <w:spacing w:before="0" w:after="283"/>
              <w:jc w:val="left"/>
              <w:rPr/>
            </w:pPr>
            <w:hyperlink w:anchor="a_048">
              <w:r>
                <w:rPr>
                  <w:rStyle w:val="InternetLink"/>
                  <w:rFonts w:ascii="Times New Roman;Times;Serif" w:hAnsi="Times New Roman;Times;Serif"/>
                  <w:sz w:val="20"/>
                </w:rPr>
                <w:t>Reliance on Officers’ Certificate.</w:t>
              </w:r>
            </w:hyperlink>
          </w:p>
        </w:tc>
        <w:tc>
          <w:tcPr>
            <w:tcW w:w="245"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25</w:t>
            </w:r>
          </w:p>
        </w:tc>
      </w:tr>
      <w:tr>
        <w:trPr/>
        <w:tc>
          <w:tcPr>
            <w:tcW w:w="1492"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7.08</w:t>
            </w:r>
          </w:p>
        </w:tc>
        <w:tc>
          <w:tcPr>
            <w:tcW w:w="6657" w:type="dxa"/>
            <w:tcBorders/>
            <w:shd w:fill="FFFFFF" w:val="clear"/>
            <w:vAlign w:val="center"/>
          </w:tcPr>
          <w:p>
            <w:pPr>
              <w:pStyle w:val="TableContents"/>
              <w:bidi w:val="0"/>
              <w:spacing w:before="0" w:after="283"/>
              <w:jc w:val="left"/>
              <w:rPr/>
            </w:pPr>
            <w:hyperlink w:anchor="a_049">
              <w:r>
                <w:rPr>
                  <w:rStyle w:val="InternetLink"/>
                  <w:rFonts w:ascii="Times New Roman;Times;Serif" w:hAnsi="Times New Roman;Times;Serif"/>
                  <w:sz w:val="20"/>
                </w:rPr>
                <w:t>Disqualification; Conflicting Interests.</w:t>
              </w:r>
            </w:hyperlink>
          </w:p>
        </w:tc>
        <w:tc>
          <w:tcPr>
            <w:tcW w:w="245" w:type="dxa"/>
            <w:tcBorders/>
            <w:shd w:fill="FFFF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25</w:t>
            </w:r>
          </w:p>
        </w:tc>
      </w:tr>
      <w:tr>
        <w:trPr/>
        <w:tc>
          <w:tcPr>
            <w:tcW w:w="1492"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7.09</w:t>
            </w:r>
          </w:p>
        </w:tc>
        <w:tc>
          <w:tcPr>
            <w:tcW w:w="6657" w:type="dxa"/>
            <w:tcBorders/>
            <w:shd w:fill="CCEEFF" w:val="clear"/>
            <w:vAlign w:val="center"/>
          </w:tcPr>
          <w:p>
            <w:pPr>
              <w:pStyle w:val="TableContents"/>
              <w:bidi w:val="0"/>
              <w:spacing w:before="0" w:after="283"/>
              <w:jc w:val="left"/>
              <w:rPr/>
            </w:pPr>
            <w:hyperlink w:anchor="a_050">
              <w:r>
                <w:rPr>
                  <w:rStyle w:val="InternetLink"/>
                  <w:rFonts w:ascii="Times New Roman;Times;Serif" w:hAnsi="Times New Roman;Times;Serif"/>
                  <w:sz w:val="20"/>
                </w:rPr>
                <w:t>Corporate Trustee Required; Eligibility.</w:t>
              </w:r>
            </w:hyperlink>
          </w:p>
        </w:tc>
        <w:tc>
          <w:tcPr>
            <w:tcW w:w="245"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26</w:t>
            </w:r>
          </w:p>
        </w:tc>
      </w:tr>
      <w:tr>
        <w:trPr/>
        <w:tc>
          <w:tcPr>
            <w:tcW w:w="1492"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7.10</w:t>
            </w:r>
          </w:p>
        </w:tc>
        <w:tc>
          <w:tcPr>
            <w:tcW w:w="6657" w:type="dxa"/>
            <w:tcBorders/>
            <w:shd w:fill="FFFFFF" w:val="clear"/>
            <w:vAlign w:val="center"/>
          </w:tcPr>
          <w:p>
            <w:pPr>
              <w:pStyle w:val="TableContents"/>
              <w:bidi w:val="0"/>
              <w:spacing w:before="0" w:after="283"/>
              <w:jc w:val="left"/>
              <w:rPr/>
            </w:pPr>
            <w:hyperlink w:anchor="a_051">
              <w:r>
                <w:rPr>
                  <w:rStyle w:val="InternetLink"/>
                  <w:rFonts w:ascii="Times New Roman;Times;Serif" w:hAnsi="Times New Roman;Times;Serif"/>
                  <w:sz w:val="20"/>
                </w:rPr>
                <w:t>Resignation and Removal; Appointment of Successor.</w:t>
              </w:r>
            </w:hyperlink>
          </w:p>
        </w:tc>
        <w:tc>
          <w:tcPr>
            <w:tcW w:w="245" w:type="dxa"/>
            <w:tcBorders/>
            <w:shd w:fill="FFFF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26</w:t>
            </w:r>
          </w:p>
        </w:tc>
      </w:tr>
      <w:tr>
        <w:trPr/>
        <w:tc>
          <w:tcPr>
            <w:tcW w:w="1492"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7.11</w:t>
            </w:r>
          </w:p>
        </w:tc>
        <w:tc>
          <w:tcPr>
            <w:tcW w:w="6657" w:type="dxa"/>
            <w:tcBorders/>
            <w:shd w:fill="CCEEFF" w:val="clear"/>
            <w:vAlign w:val="center"/>
          </w:tcPr>
          <w:p>
            <w:pPr>
              <w:pStyle w:val="TableContents"/>
              <w:bidi w:val="0"/>
              <w:spacing w:before="0" w:after="283"/>
              <w:jc w:val="left"/>
              <w:rPr/>
            </w:pPr>
            <w:hyperlink w:anchor="a_052">
              <w:r>
                <w:rPr>
                  <w:rStyle w:val="InternetLink"/>
                  <w:rFonts w:ascii="Times New Roman;Times;Serif" w:hAnsi="Times New Roman;Times;Serif"/>
                  <w:sz w:val="20"/>
                </w:rPr>
                <w:t>Acceptance of Appointment By Successor.</w:t>
              </w:r>
            </w:hyperlink>
          </w:p>
        </w:tc>
        <w:tc>
          <w:tcPr>
            <w:tcW w:w="245"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27</w:t>
            </w:r>
          </w:p>
        </w:tc>
      </w:tr>
      <w:tr>
        <w:trPr/>
        <w:tc>
          <w:tcPr>
            <w:tcW w:w="1492"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7.12</w:t>
            </w:r>
          </w:p>
        </w:tc>
        <w:tc>
          <w:tcPr>
            <w:tcW w:w="6657" w:type="dxa"/>
            <w:tcBorders/>
            <w:shd w:fill="FFFFFF" w:val="clear"/>
            <w:vAlign w:val="center"/>
          </w:tcPr>
          <w:p>
            <w:pPr>
              <w:pStyle w:val="TableContents"/>
              <w:bidi w:val="0"/>
              <w:spacing w:before="0" w:after="283"/>
              <w:jc w:val="left"/>
              <w:rPr/>
            </w:pPr>
            <w:hyperlink w:anchor="a_053">
              <w:r>
                <w:rPr>
                  <w:rStyle w:val="InternetLink"/>
                  <w:rFonts w:ascii="Times New Roman;Times;Serif" w:hAnsi="Times New Roman;Times;Serif"/>
                  <w:sz w:val="20"/>
                </w:rPr>
                <w:t>Merger, Conversion, Consolidation or Succession to Business.</w:t>
              </w:r>
            </w:hyperlink>
          </w:p>
        </w:tc>
        <w:tc>
          <w:tcPr>
            <w:tcW w:w="245" w:type="dxa"/>
            <w:tcBorders/>
            <w:shd w:fill="FFFF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28</w:t>
            </w:r>
          </w:p>
        </w:tc>
      </w:tr>
      <w:tr>
        <w:trPr/>
        <w:tc>
          <w:tcPr>
            <w:tcW w:w="1492"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7.13</w:t>
            </w:r>
          </w:p>
        </w:tc>
        <w:tc>
          <w:tcPr>
            <w:tcW w:w="6657" w:type="dxa"/>
            <w:tcBorders/>
            <w:shd w:fill="CCEEFF" w:val="clear"/>
            <w:vAlign w:val="center"/>
          </w:tcPr>
          <w:p>
            <w:pPr>
              <w:pStyle w:val="TableContents"/>
              <w:bidi w:val="0"/>
              <w:spacing w:before="0" w:after="283"/>
              <w:jc w:val="left"/>
              <w:rPr/>
            </w:pPr>
            <w:hyperlink w:anchor="a_054">
              <w:r>
                <w:rPr>
                  <w:rStyle w:val="InternetLink"/>
                  <w:rFonts w:ascii="Times New Roman;Times;Serif" w:hAnsi="Times New Roman;Times;Serif"/>
                  <w:sz w:val="20"/>
                </w:rPr>
                <w:t>Preferential Collection of Claims Against the Company.</w:t>
              </w:r>
            </w:hyperlink>
          </w:p>
        </w:tc>
        <w:tc>
          <w:tcPr>
            <w:tcW w:w="245"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28</w:t>
            </w:r>
          </w:p>
        </w:tc>
      </w:tr>
      <w:tr>
        <w:trPr/>
        <w:tc>
          <w:tcPr>
            <w:tcW w:w="1492"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7.14</w:t>
            </w:r>
          </w:p>
        </w:tc>
        <w:tc>
          <w:tcPr>
            <w:tcW w:w="6657" w:type="dxa"/>
            <w:tcBorders/>
            <w:shd w:fill="FFFFFF" w:val="clear"/>
            <w:vAlign w:val="center"/>
          </w:tcPr>
          <w:p>
            <w:pPr>
              <w:pStyle w:val="TableContents"/>
              <w:bidi w:val="0"/>
              <w:spacing w:before="0" w:after="283"/>
              <w:jc w:val="left"/>
              <w:rPr/>
            </w:pPr>
            <w:hyperlink w:anchor="a_055">
              <w:r>
                <w:rPr>
                  <w:rStyle w:val="InternetLink"/>
                  <w:rFonts w:ascii="Times New Roman;Times;Serif" w:hAnsi="Times New Roman;Times;Serif"/>
                  <w:sz w:val="20"/>
                </w:rPr>
                <w:t>Notice of Default</w:t>
              </w:r>
            </w:hyperlink>
          </w:p>
        </w:tc>
        <w:tc>
          <w:tcPr>
            <w:tcW w:w="245" w:type="dxa"/>
            <w:tcBorders/>
            <w:shd w:fill="FFFF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28</w:t>
            </w:r>
          </w:p>
        </w:tc>
      </w:tr>
      <w:tr>
        <w:trPr/>
        <w:tc>
          <w:tcPr>
            <w:tcW w:w="1492" w:type="dxa"/>
            <w:tcBorders/>
            <w:shd w:fill="CCEEFF" w:val="clear"/>
            <w:vAlign w:val="center"/>
          </w:tcPr>
          <w:p>
            <w:pPr>
              <w:pStyle w:val="TableContents"/>
              <w:bidi w:val="0"/>
              <w:spacing w:before="0" w:after="283"/>
              <w:jc w:val="left"/>
              <w:rPr/>
            </w:pPr>
            <w:r>
              <w:rPr/>
              <w:t> </w:t>
            </w:r>
          </w:p>
        </w:tc>
        <w:tc>
          <w:tcPr>
            <w:tcW w:w="6657" w:type="dxa"/>
            <w:tcBorders/>
            <w:shd w:fill="CCEEFF" w:val="clear"/>
            <w:vAlign w:val="center"/>
          </w:tcPr>
          <w:p>
            <w:pPr>
              <w:pStyle w:val="TableContents"/>
              <w:bidi w:val="0"/>
              <w:spacing w:before="0" w:after="283"/>
              <w:jc w:val="left"/>
              <w:rPr/>
            </w:pPr>
            <w:r>
              <w:rPr/>
              <w:t> </w:t>
            </w:r>
          </w:p>
        </w:tc>
        <w:tc>
          <w:tcPr>
            <w:tcW w:w="245" w:type="dxa"/>
            <w:tcBorders/>
            <w:shd w:fill="CCEEFF" w:val="clear"/>
            <w:vAlign w:val="center"/>
          </w:tcPr>
          <w:p>
            <w:pPr>
              <w:pStyle w:val="TableContents"/>
              <w:bidi w:val="0"/>
              <w:spacing w:before="0" w:after="283"/>
              <w:jc w:val="center"/>
              <w:rPr/>
            </w:pPr>
            <w:r>
              <w:rPr/>
              <w:t> </w:t>
            </w:r>
          </w:p>
        </w:tc>
      </w:tr>
      <w:tr>
        <w:trPr/>
        <w:tc>
          <w:tcPr>
            <w:tcW w:w="8149" w:type="dxa"/>
            <w:gridSpan w:val="2"/>
            <w:tcBorders/>
            <w:shd w:fill="FFFFFF" w:val="clear"/>
            <w:vAlign w:val="center"/>
          </w:tcPr>
          <w:p>
            <w:pPr>
              <w:pStyle w:val="TableContents"/>
              <w:bidi w:val="0"/>
              <w:spacing w:before="0" w:after="283"/>
              <w:jc w:val="left"/>
              <w:rPr/>
            </w:pPr>
            <w:hyperlink w:anchor="a_056">
              <w:r>
                <w:rPr>
                  <w:rStyle w:val="InternetLink"/>
                  <w:rFonts w:ascii="Times New Roman;Times;Serif" w:hAnsi="Times New Roman;Times;Serif"/>
                  <w:sz w:val="20"/>
                </w:rPr>
                <w:t>ARTICLE 8 CONCERNING THE SECURITYHOLDERS</w:t>
              </w:r>
            </w:hyperlink>
          </w:p>
        </w:tc>
        <w:tc>
          <w:tcPr>
            <w:tcW w:w="245" w:type="dxa"/>
            <w:tcBorders/>
            <w:shd w:fill="FFFF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29</w:t>
            </w:r>
          </w:p>
        </w:tc>
      </w:tr>
      <w:tr>
        <w:trPr/>
        <w:tc>
          <w:tcPr>
            <w:tcW w:w="1492"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8.01</w:t>
            </w:r>
          </w:p>
        </w:tc>
        <w:tc>
          <w:tcPr>
            <w:tcW w:w="6657" w:type="dxa"/>
            <w:tcBorders/>
            <w:shd w:fill="CCEEFF" w:val="clear"/>
            <w:vAlign w:val="center"/>
          </w:tcPr>
          <w:p>
            <w:pPr>
              <w:pStyle w:val="TableContents"/>
              <w:bidi w:val="0"/>
              <w:spacing w:before="0" w:after="283"/>
              <w:jc w:val="left"/>
              <w:rPr/>
            </w:pPr>
            <w:hyperlink w:anchor="a_057">
              <w:r>
                <w:rPr>
                  <w:rStyle w:val="InternetLink"/>
                  <w:rFonts w:ascii="Times New Roman;Times;Serif" w:hAnsi="Times New Roman;Times;Serif"/>
                  <w:sz w:val="20"/>
                </w:rPr>
                <w:t>Evidence of Action by Securityholders.</w:t>
              </w:r>
            </w:hyperlink>
          </w:p>
        </w:tc>
        <w:tc>
          <w:tcPr>
            <w:tcW w:w="245"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29</w:t>
            </w:r>
          </w:p>
        </w:tc>
      </w:tr>
      <w:tr>
        <w:trPr/>
        <w:tc>
          <w:tcPr>
            <w:tcW w:w="1492"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8.02</w:t>
            </w:r>
          </w:p>
        </w:tc>
        <w:tc>
          <w:tcPr>
            <w:tcW w:w="6657" w:type="dxa"/>
            <w:tcBorders/>
            <w:shd w:fill="FFFFFF" w:val="clear"/>
            <w:vAlign w:val="center"/>
          </w:tcPr>
          <w:p>
            <w:pPr>
              <w:pStyle w:val="TableContents"/>
              <w:bidi w:val="0"/>
              <w:spacing w:before="0" w:after="283"/>
              <w:jc w:val="left"/>
              <w:rPr/>
            </w:pPr>
            <w:hyperlink w:anchor="a_058">
              <w:r>
                <w:rPr>
                  <w:rStyle w:val="InternetLink"/>
                  <w:rFonts w:ascii="Times New Roman;Times;Serif" w:hAnsi="Times New Roman;Times;Serif"/>
                  <w:sz w:val="20"/>
                </w:rPr>
                <w:t>Proof of Execution by Securityholders.</w:t>
              </w:r>
            </w:hyperlink>
          </w:p>
        </w:tc>
        <w:tc>
          <w:tcPr>
            <w:tcW w:w="245" w:type="dxa"/>
            <w:tcBorders/>
            <w:shd w:fill="FFFF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29</w:t>
            </w:r>
          </w:p>
        </w:tc>
      </w:tr>
      <w:tr>
        <w:trPr/>
        <w:tc>
          <w:tcPr>
            <w:tcW w:w="1492"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8.03</w:t>
            </w:r>
          </w:p>
        </w:tc>
        <w:tc>
          <w:tcPr>
            <w:tcW w:w="6657" w:type="dxa"/>
            <w:tcBorders/>
            <w:shd w:fill="CCEEFF" w:val="clear"/>
            <w:vAlign w:val="center"/>
          </w:tcPr>
          <w:p>
            <w:pPr>
              <w:pStyle w:val="TableContents"/>
              <w:bidi w:val="0"/>
              <w:spacing w:before="0" w:after="283"/>
              <w:jc w:val="left"/>
              <w:rPr/>
            </w:pPr>
            <w:hyperlink w:anchor="a_059">
              <w:r>
                <w:rPr>
                  <w:rStyle w:val="InternetLink"/>
                  <w:rFonts w:ascii="Times New Roman;Times;Serif" w:hAnsi="Times New Roman;Times;Serif"/>
                  <w:sz w:val="20"/>
                </w:rPr>
                <w:t>Who May be Deemed Owners.</w:t>
              </w:r>
            </w:hyperlink>
          </w:p>
        </w:tc>
        <w:tc>
          <w:tcPr>
            <w:tcW w:w="245"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29</w:t>
            </w:r>
          </w:p>
        </w:tc>
      </w:tr>
      <w:tr>
        <w:trPr/>
        <w:tc>
          <w:tcPr>
            <w:tcW w:w="1492"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8.04</w:t>
            </w:r>
          </w:p>
        </w:tc>
        <w:tc>
          <w:tcPr>
            <w:tcW w:w="6657" w:type="dxa"/>
            <w:tcBorders/>
            <w:shd w:fill="FFFFFF" w:val="clear"/>
            <w:vAlign w:val="center"/>
          </w:tcPr>
          <w:p>
            <w:pPr>
              <w:pStyle w:val="TableContents"/>
              <w:bidi w:val="0"/>
              <w:spacing w:before="0" w:after="283"/>
              <w:jc w:val="left"/>
              <w:rPr/>
            </w:pPr>
            <w:hyperlink w:anchor="a_060">
              <w:r>
                <w:rPr>
                  <w:rStyle w:val="InternetLink"/>
                  <w:rFonts w:ascii="Times New Roman;Times;Serif" w:hAnsi="Times New Roman;Times;Serif"/>
                  <w:sz w:val="20"/>
                </w:rPr>
                <w:t>Certain Securities Owned by Company Disregarded.</w:t>
              </w:r>
            </w:hyperlink>
          </w:p>
        </w:tc>
        <w:tc>
          <w:tcPr>
            <w:tcW w:w="245" w:type="dxa"/>
            <w:tcBorders/>
            <w:shd w:fill="FFFF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30</w:t>
            </w:r>
          </w:p>
        </w:tc>
      </w:tr>
      <w:tr>
        <w:trPr/>
        <w:tc>
          <w:tcPr>
            <w:tcW w:w="1492"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8.05</w:t>
            </w:r>
          </w:p>
        </w:tc>
        <w:tc>
          <w:tcPr>
            <w:tcW w:w="6657" w:type="dxa"/>
            <w:tcBorders/>
            <w:shd w:fill="CCEEFF" w:val="clear"/>
            <w:vAlign w:val="center"/>
          </w:tcPr>
          <w:p>
            <w:pPr>
              <w:pStyle w:val="TableContents"/>
              <w:bidi w:val="0"/>
              <w:spacing w:before="0" w:after="283"/>
              <w:jc w:val="left"/>
              <w:rPr/>
            </w:pPr>
            <w:hyperlink w:anchor="a_061">
              <w:r>
                <w:rPr>
                  <w:rStyle w:val="InternetLink"/>
                  <w:rFonts w:ascii="Times New Roman;Times;Serif" w:hAnsi="Times New Roman;Times;Serif"/>
                  <w:sz w:val="20"/>
                </w:rPr>
                <w:t>Actions Binding on Future Securityholders.</w:t>
              </w:r>
            </w:hyperlink>
          </w:p>
        </w:tc>
        <w:tc>
          <w:tcPr>
            <w:tcW w:w="245"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30</w:t>
            </w:r>
          </w:p>
        </w:tc>
      </w:tr>
      <w:tr>
        <w:trPr/>
        <w:tc>
          <w:tcPr>
            <w:tcW w:w="1492" w:type="dxa"/>
            <w:tcBorders/>
            <w:shd w:fill="FFFFFF" w:val="clear"/>
            <w:vAlign w:val="center"/>
          </w:tcPr>
          <w:p>
            <w:pPr>
              <w:pStyle w:val="TableContents"/>
              <w:bidi w:val="0"/>
              <w:spacing w:before="0" w:after="283"/>
              <w:jc w:val="left"/>
              <w:rPr/>
            </w:pPr>
            <w:r>
              <w:rPr/>
              <w:t> </w:t>
            </w:r>
          </w:p>
        </w:tc>
        <w:tc>
          <w:tcPr>
            <w:tcW w:w="6657" w:type="dxa"/>
            <w:tcBorders/>
            <w:shd w:fill="FFFFFF" w:val="clear"/>
            <w:vAlign w:val="center"/>
          </w:tcPr>
          <w:p>
            <w:pPr>
              <w:pStyle w:val="TableContents"/>
              <w:bidi w:val="0"/>
              <w:spacing w:before="0" w:after="283"/>
              <w:jc w:val="left"/>
              <w:rPr/>
            </w:pPr>
            <w:r>
              <w:rPr/>
              <w:t> </w:t>
            </w:r>
          </w:p>
        </w:tc>
        <w:tc>
          <w:tcPr>
            <w:tcW w:w="245" w:type="dxa"/>
            <w:tcBorders/>
            <w:shd w:fill="FFFFFF" w:val="clear"/>
            <w:vAlign w:val="center"/>
          </w:tcPr>
          <w:p>
            <w:pPr>
              <w:pStyle w:val="TableContents"/>
              <w:bidi w:val="0"/>
              <w:spacing w:before="0" w:after="283"/>
              <w:jc w:val="center"/>
              <w:rPr/>
            </w:pPr>
            <w:r>
              <w:rPr/>
              <w:t> </w:t>
            </w:r>
          </w:p>
        </w:tc>
      </w:tr>
      <w:tr>
        <w:trPr/>
        <w:tc>
          <w:tcPr>
            <w:tcW w:w="8149" w:type="dxa"/>
            <w:gridSpan w:val="2"/>
            <w:tcBorders/>
            <w:shd w:fill="CCEEFF" w:val="clear"/>
            <w:vAlign w:val="center"/>
          </w:tcPr>
          <w:p>
            <w:pPr>
              <w:pStyle w:val="TableContents"/>
              <w:bidi w:val="0"/>
              <w:spacing w:before="0" w:after="283"/>
              <w:jc w:val="left"/>
              <w:rPr/>
            </w:pPr>
            <w:hyperlink w:anchor="a_062">
              <w:r>
                <w:rPr>
                  <w:rStyle w:val="InternetLink"/>
                  <w:rFonts w:ascii="Times New Roman;Times;Serif" w:hAnsi="Times New Roman;Times;Serif"/>
                  <w:sz w:val="20"/>
                </w:rPr>
                <w:t>ARTICLE 9 SUPPLEMENTAL INDENTURES</w:t>
              </w:r>
            </w:hyperlink>
          </w:p>
        </w:tc>
        <w:tc>
          <w:tcPr>
            <w:tcW w:w="245"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30</w:t>
            </w:r>
          </w:p>
        </w:tc>
      </w:tr>
      <w:tr>
        <w:trPr/>
        <w:tc>
          <w:tcPr>
            <w:tcW w:w="1492"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9.01</w:t>
            </w:r>
          </w:p>
        </w:tc>
        <w:tc>
          <w:tcPr>
            <w:tcW w:w="6657" w:type="dxa"/>
            <w:tcBorders/>
            <w:shd w:fill="FFFFFF" w:val="clear"/>
            <w:vAlign w:val="center"/>
          </w:tcPr>
          <w:p>
            <w:pPr>
              <w:pStyle w:val="TableContents"/>
              <w:bidi w:val="0"/>
              <w:spacing w:before="0" w:after="283"/>
              <w:jc w:val="left"/>
              <w:rPr/>
            </w:pPr>
            <w:hyperlink w:anchor="a_063">
              <w:r>
                <w:rPr>
                  <w:rStyle w:val="InternetLink"/>
                  <w:rFonts w:ascii="Times New Roman;Times;Serif" w:hAnsi="Times New Roman;Times;Serif"/>
                  <w:sz w:val="20"/>
                </w:rPr>
                <w:t>Supplemental Indentures Without the Consent of Securityholders.</w:t>
              </w:r>
            </w:hyperlink>
          </w:p>
        </w:tc>
        <w:tc>
          <w:tcPr>
            <w:tcW w:w="245" w:type="dxa"/>
            <w:tcBorders/>
            <w:shd w:fill="FFFF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30</w:t>
            </w:r>
          </w:p>
        </w:tc>
      </w:tr>
      <w:tr>
        <w:trPr/>
        <w:tc>
          <w:tcPr>
            <w:tcW w:w="1492"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9.02</w:t>
            </w:r>
          </w:p>
        </w:tc>
        <w:tc>
          <w:tcPr>
            <w:tcW w:w="6657" w:type="dxa"/>
            <w:tcBorders/>
            <w:shd w:fill="CCEEFF" w:val="clear"/>
            <w:vAlign w:val="center"/>
          </w:tcPr>
          <w:p>
            <w:pPr>
              <w:pStyle w:val="TableContents"/>
              <w:bidi w:val="0"/>
              <w:spacing w:before="0" w:after="283"/>
              <w:jc w:val="left"/>
              <w:rPr/>
            </w:pPr>
            <w:hyperlink w:anchor="a_064">
              <w:r>
                <w:rPr>
                  <w:rStyle w:val="InternetLink"/>
                  <w:rFonts w:ascii="Times New Roman;Times;Serif" w:hAnsi="Times New Roman;Times;Serif"/>
                  <w:sz w:val="20"/>
                </w:rPr>
                <w:t>Supplemental Indentures With Consent of Securityholders.</w:t>
              </w:r>
            </w:hyperlink>
          </w:p>
        </w:tc>
        <w:tc>
          <w:tcPr>
            <w:tcW w:w="245"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31</w:t>
            </w:r>
          </w:p>
        </w:tc>
      </w:tr>
      <w:tr>
        <w:trPr/>
        <w:tc>
          <w:tcPr>
            <w:tcW w:w="1492"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9.03</w:t>
            </w:r>
          </w:p>
        </w:tc>
        <w:tc>
          <w:tcPr>
            <w:tcW w:w="6657" w:type="dxa"/>
            <w:tcBorders/>
            <w:shd w:fill="FFFFFF" w:val="clear"/>
            <w:vAlign w:val="center"/>
          </w:tcPr>
          <w:p>
            <w:pPr>
              <w:pStyle w:val="TableContents"/>
              <w:bidi w:val="0"/>
              <w:spacing w:before="0" w:after="283"/>
              <w:jc w:val="left"/>
              <w:rPr/>
            </w:pPr>
            <w:hyperlink w:anchor="a_065">
              <w:r>
                <w:rPr>
                  <w:rStyle w:val="InternetLink"/>
                  <w:rFonts w:ascii="Times New Roman;Times;Serif" w:hAnsi="Times New Roman;Times;Serif"/>
                  <w:sz w:val="20"/>
                </w:rPr>
                <w:t>Effect of Supplemental Indentures.</w:t>
              </w:r>
            </w:hyperlink>
          </w:p>
        </w:tc>
        <w:tc>
          <w:tcPr>
            <w:tcW w:w="245" w:type="dxa"/>
            <w:tcBorders/>
            <w:shd w:fill="FFFF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32</w:t>
            </w:r>
          </w:p>
        </w:tc>
      </w:tr>
      <w:tr>
        <w:trPr/>
        <w:tc>
          <w:tcPr>
            <w:tcW w:w="1492"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9.04</w:t>
            </w:r>
          </w:p>
        </w:tc>
        <w:tc>
          <w:tcPr>
            <w:tcW w:w="6657" w:type="dxa"/>
            <w:tcBorders/>
            <w:shd w:fill="CCEEFF" w:val="clear"/>
            <w:vAlign w:val="center"/>
          </w:tcPr>
          <w:p>
            <w:pPr>
              <w:pStyle w:val="TableContents"/>
              <w:bidi w:val="0"/>
              <w:spacing w:before="0" w:after="283"/>
              <w:jc w:val="left"/>
              <w:rPr/>
            </w:pPr>
            <w:hyperlink w:anchor="a_066">
              <w:r>
                <w:rPr>
                  <w:rStyle w:val="InternetLink"/>
                  <w:rFonts w:ascii="Times New Roman;Times;Serif" w:hAnsi="Times New Roman;Times;Serif"/>
                  <w:sz w:val="20"/>
                </w:rPr>
                <w:t>Securities Affected by Supplemental Indentures.</w:t>
              </w:r>
            </w:hyperlink>
          </w:p>
        </w:tc>
        <w:tc>
          <w:tcPr>
            <w:tcW w:w="245"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32</w:t>
            </w:r>
          </w:p>
        </w:tc>
      </w:tr>
      <w:tr>
        <w:trPr/>
        <w:tc>
          <w:tcPr>
            <w:tcW w:w="1492"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9.05</w:t>
            </w:r>
          </w:p>
        </w:tc>
        <w:tc>
          <w:tcPr>
            <w:tcW w:w="6657" w:type="dxa"/>
            <w:tcBorders/>
            <w:shd w:fill="FFFFFF" w:val="clear"/>
            <w:vAlign w:val="center"/>
          </w:tcPr>
          <w:p>
            <w:pPr>
              <w:pStyle w:val="TableContents"/>
              <w:bidi w:val="0"/>
              <w:spacing w:before="0" w:after="283"/>
              <w:jc w:val="left"/>
              <w:rPr/>
            </w:pPr>
            <w:hyperlink w:anchor="a_067">
              <w:r>
                <w:rPr>
                  <w:rStyle w:val="InternetLink"/>
                  <w:rFonts w:ascii="Times New Roman;Times;Serif" w:hAnsi="Times New Roman;Times;Serif"/>
                  <w:sz w:val="20"/>
                </w:rPr>
                <w:t>Execution of Supplemental Indentures.</w:t>
              </w:r>
            </w:hyperlink>
          </w:p>
        </w:tc>
        <w:tc>
          <w:tcPr>
            <w:tcW w:w="245" w:type="dxa"/>
            <w:tcBorders/>
            <w:shd w:fill="FFFF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32</w:t>
            </w:r>
          </w:p>
        </w:tc>
      </w:tr>
      <w:tr>
        <w:trPr/>
        <w:tc>
          <w:tcPr>
            <w:tcW w:w="1492" w:type="dxa"/>
            <w:tcBorders/>
            <w:shd w:fill="CCEEFF" w:val="clear"/>
            <w:vAlign w:val="center"/>
          </w:tcPr>
          <w:p>
            <w:pPr>
              <w:pStyle w:val="TableContents"/>
              <w:bidi w:val="0"/>
              <w:spacing w:before="0" w:after="283"/>
              <w:jc w:val="left"/>
              <w:rPr/>
            </w:pPr>
            <w:r>
              <w:rPr/>
              <w:t> </w:t>
            </w:r>
          </w:p>
        </w:tc>
        <w:tc>
          <w:tcPr>
            <w:tcW w:w="6657" w:type="dxa"/>
            <w:tcBorders/>
            <w:shd w:fill="CCEEFF" w:val="clear"/>
            <w:vAlign w:val="center"/>
          </w:tcPr>
          <w:p>
            <w:pPr>
              <w:pStyle w:val="TableContents"/>
              <w:bidi w:val="0"/>
              <w:spacing w:before="0" w:after="283"/>
              <w:jc w:val="left"/>
              <w:rPr/>
            </w:pPr>
            <w:r>
              <w:rPr/>
              <w:t> </w:t>
            </w:r>
          </w:p>
        </w:tc>
        <w:tc>
          <w:tcPr>
            <w:tcW w:w="245" w:type="dxa"/>
            <w:tcBorders/>
            <w:shd w:fill="CCEEFF" w:val="clear"/>
            <w:vAlign w:val="center"/>
          </w:tcPr>
          <w:p>
            <w:pPr>
              <w:pStyle w:val="TableContents"/>
              <w:bidi w:val="0"/>
              <w:spacing w:before="0" w:after="283"/>
              <w:jc w:val="center"/>
              <w:rPr/>
            </w:pPr>
            <w:r>
              <w:rPr/>
              <w:t> </w:t>
            </w:r>
          </w:p>
        </w:tc>
      </w:tr>
      <w:tr>
        <w:trPr/>
        <w:tc>
          <w:tcPr>
            <w:tcW w:w="8149" w:type="dxa"/>
            <w:gridSpan w:val="2"/>
            <w:tcBorders/>
            <w:shd w:fill="FFFFFF" w:val="clear"/>
            <w:vAlign w:val="center"/>
          </w:tcPr>
          <w:p>
            <w:pPr>
              <w:pStyle w:val="TableContents"/>
              <w:bidi w:val="0"/>
              <w:spacing w:before="0" w:after="283"/>
              <w:jc w:val="left"/>
              <w:rPr/>
            </w:pPr>
            <w:hyperlink w:anchor="a_068">
              <w:r>
                <w:rPr>
                  <w:rStyle w:val="InternetLink"/>
                  <w:rFonts w:ascii="Times New Roman;Times;Serif" w:hAnsi="Times New Roman;Times;Serif"/>
                  <w:sz w:val="20"/>
                </w:rPr>
                <w:t>ARTICLE 10 SUCCESSOR ENTITY</w:t>
              </w:r>
            </w:hyperlink>
          </w:p>
        </w:tc>
        <w:tc>
          <w:tcPr>
            <w:tcW w:w="245" w:type="dxa"/>
            <w:tcBorders/>
            <w:shd w:fill="FFFF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33</w:t>
            </w:r>
          </w:p>
        </w:tc>
      </w:tr>
      <w:tr>
        <w:trPr/>
        <w:tc>
          <w:tcPr>
            <w:tcW w:w="1492"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10.01 </w:t>
            </w:r>
          </w:p>
        </w:tc>
        <w:tc>
          <w:tcPr>
            <w:tcW w:w="6657" w:type="dxa"/>
            <w:tcBorders/>
            <w:shd w:fill="CCEEFF" w:val="clear"/>
            <w:vAlign w:val="center"/>
          </w:tcPr>
          <w:p>
            <w:pPr>
              <w:pStyle w:val="TableContents"/>
              <w:bidi w:val="0"/>
              <w:spacing w:before="0" w:after="283"/>
              <w:jc w:val="left"/>
              <w:rPr/>
            </w:pPr>
            <w:hyperlink w:anchor="a_069">
              <w:r>
                <w:rPr>
                  <w:rStyle w:val="InternetLink"/>
                  <w:rFonts w:ascii="Times New Roman;Times;Serif" w:hAnsi="Times New Roman;Times;Serif"/>
                  <w:sz w:val="20"/>
                </w:rPr>
                <w:t>Company May Consolidate, Etc.</w:t>
              </w:r>
            </w:hyperlink>
          </w:p>
        </w:tc>
        <w:tc>
          <w:tcPr>
            <w:tcW w:w="245"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33</w:t>
            </w:r>
          </w:p>
        </w:tc>
      </w:tr>
      <w:tr>
        <w:trPr/>
        <w:tc>
          <w:tcPr>
            <w:tcW w:w="1492"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10.02 </w:t>
            </w:r>
          </w:p>
        </w:tc>
        <w:tc>
          <w:tcPr>
            <w:tcW w:w="6657" w:type="dxa"/>
            <w:tcBorders/>
            <w:shd w:fill="FFFFFF" w:val="clear"/>
            <w:vAlign w:val="center"/>
          </w:tcPr>
          <w:p>
            <w:pPr>
              <w:pStyle w:val="TableContents"/>
              <w:bidi w:val="0"/>
              <w:spacing w:before="0" w:after="283"/>
              <w:jc w:val="left"/>
              <w:rPr/>
            </w:pPr>
            <w:hyperlink w:anchor="a_070">
              <w:r>
                <w:rPr>
                  <w:rStyle w:val="InternetLink"/>
                  <w:rFonts w:ascii="Times New Roman;Times;Serif" w:hAnsi="Times New Roman;Times;Serif"/>
                  <w:sz w:val="20"/>
                </w:rPr>
                <w:t>Successor Entity Substituted.</w:t>
              </w:r>
            </w:hyperlink>
          </w:p>
        </w:tc>
        <w:tc>
          <w:tcPr>
            <w:tcW w:w="245" w:type="dxa"/>
            <w:tcBorders/>
            <w:shd w:fill="FFFF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33</w:t>
            </w:r>
          </w:p>
        </w:tc>
      </w:tr>
      <w:tr>
        <w:trPr/>
        <w:tc>
          <w:tcPr>
            <w:tcW w:w="1492"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10.03 </w:t>
            </w:r>
          </w:p>
        </w:tc>
        <w:tc>
          <w:tcPr>
            <w:tcW w:w="6657" w:type="dxa"/>
            <w:tcBorders/>
            <w:shd w:fill="CCEEFF" w:val="clear"/>
            <w:vAlign w:val="center"/>
          </w:tcPr>
          <w:p>
            <w:pPr>
              <w:pStyle w:val="TableContents"/>
              <w:bidi w:val="0"/>
              <w:spacing w:before="0" w:after="283"/>
              <w:jc w:val="left"/>
              <w:rPr/>
            </w:pPr>
            <w:hyperlink w:anchor="a_071">
              <w:r>
                <w:rPr>
                  <w:rStyle w:val="InternetLink"/>
                  <w:rFonts w:ascii="Times New Roman;Times;Serif" w:hAnsi="Times New Roman;Times;Serif"/>
                  <w:sz w:val="20"/>
                </w:rPr>
                <w:t>Evidence of Consolidation, Etc. to Trustee.</w:t>
              </w:r>
            </w:hyperlink>
          </w:p>
        </w:tc>
        <w:tc>
          <w:tcPr>
            <w:tcW w:w="245"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33</w:t>
            </w:r>
          </w:p>
        </w:tc>
      </w:tr>
      <w:tr>
        <w:trPr/>
        <w:tc>
          <w:tcPr>
            <w:tcW w:w="1492" w:type="dxa"/>
            <w:tcBorders/>
            <w:shd w:fill="FFFFFF" w:val="clear"/>
            <w:vAlign w:val="center"/>
          </w:tcPr>
          <w:p>
            <w:pPr>
              <w:pStyle w:val="TableContents"/>
              <w:bidi w:val="0"/>
              <w:spacing w:before="0" w:after="283"/>
              <w:jc w:val="left"/>
              <w:rPr/>
            </w:pPr>
            <w:r>
              <w:rPr/>
              <w:t> </w:t>
            </w:r>
          </w:p>
        </w:tc>
        <w:tc>
          <w:tcPr>
            <w:tcW w:w="6657" w:type="dxa"/>
            <w:tcBorders/>
            <w:shd w:fill="FFFFFF" w:val="clear"/>
            <w:vAlign w:val="center"/>
          </w:tcPr>
          <w:p>
            <w:pPr>
              <w:pStyle w:val="TableContents"/>
              <w:bidi w:val="0"/>
              <w:spacing w:before="0" w:after="283"/>
              <w:jc w:val="left"/>
              <w:rPr/>
            </w:pPr>
            <w:r>
              <w:rPr/>
              <w:t> </w:t>
            </w:r>
          </w:p>
        </w:tc>
        <w:tc>
          <w:tcPr>
            <w:tcW w:w="245" w:type="dxa"/>
            <w:tcBorders/>
            <w:shd w:fill="FFFFFF" w:val="clear"/>
            <w:vAlign w:val="center"/>
          </w:tcPr>
          <w:p>
            <w:pPr>
              <w:pStyle w:val="TableContents"/>
              <w:bidi w:val="0"/>
              <w:spacing w:before="0" w:after="283"/>
              <w:jc w:val="center"/>
              <w:rPr/>
            </w:pPr>
            <w:r>
              <w:rPr/>
              <w:t> </w:t>
            </w:r>
          </w:p>
        </w:tc>
      </w:tr>
      <w:tr>
        <w:trPr/>
        <w:tc>
          <w:tcPr>
            <w:tcW w:w="8149" w:type="dxa"/>
            <w:gridSpan w:val="2"/>
            <w:tcBorders/>
            <w:shd w:fill="CCEEFF" w:val="clear"/>
            <w:vAlign w:val="center"/>
          </w:tcPr>
          <w:p>
            <w:pPr>
              <w:pStyle w:val="TableContents"/>
              <w:bidi w:val="0"/>
              <w:spacing w:before="0" w:after="283"/>
              <w:jc w:val="left"/>
              <w:rPr/>
            </w:pPr>
            <w:hyperlink w:anchor="a_072">
              <w:r>
                <w:rPr>
                  <w:rStyle w:val="InternetLink"/>
                  <w:rFonts w:ascii="Times New Roman;Times;Serif" w:hAnsi="Times New Roman;Times;Serif"/>
                  <w:sz w:val="20"/>
                </w:rPr>
                <w:t>ARTICLE 11 SATISFACTION AND DISCHARGE</w:t>
              </w:r>
            </w:hyperlink>
          </w:p>
        </w:tc>
        <w:tc>
          <w:tcPr>
            <w:tcW w:w="245"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34</w:t>
            </w:r>
          </w:p>
        </w:tc>
      </w:tr>
      <w:tr>
        <w:trPr/>
        <w:tc>
          <w:tcPr>
            <w:tcW w:w="1492"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11.01 </w:t>
            </w:r>
          </w:p>
        </w:tc>
        <w:tc>
          <w:tcPr>
            <w:tcW w:w="6657" w:type="dxa"/>
            <w:tcBorders/>
            <w:shd w:fill="FFFFFF" w:val="clear"/>
            <w:vAlign w:val="center"/>
          </w:tcPr>
          <w:p>
            <w:pPr>
              <w:pStyle w:val="TableContents"/>
              <w:bidi w:val="0"/>
              <w:spacing w:before="0" w:after="283"/>
              <w:jc w:val="left"/>
              <w:rPr/>
            </w:pPr>
            <w:hyperlink w:anchor="a_073">
              <w:r>
                <w:rPr>
                  <w:rStyle w:val="InternetLink"/>
                  <w:rFonts w:ascii="Times New Roman;Times;Serif" w:hAnsi="Times New Roman;Times;Serif"/>
                  <w:sz w:val="20"/>
                </w:rPr>
                <w:t>Satisfaction and Discharge of Indenture.</w:t>
              </w:r>
            </w:hyperlink>
          </w:p>
        </w:tc>
        <w:tc>
          <w:tcPr>
            <w:tcW w:w="245" w:type="dxa"/>
            <w:tcBorders/>
            <w:shd w:fill="FFFF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34</w:t>
            </w:r>
          </w:p>
        </w:tc>
      </w:tr>
      <w:tr>
        <w:trPr/>
        <w:tc>
          <w:tcPr>
            <w:tcW w:w="1492"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11.02 </w:t>
            </w:r>
          </w:p>
        </w:tc>
        <w:tc>
          <w:tcPr>
            <w:tcW w:w="6657" w:type="dxa"/>
            <w:tcBorders/>
            <w:shd w:fill="CCEEFF" w:val="clear"/>
            <w:vAlign w:val="center"/>
          </w:tcPr>
          <w:p>
            <w:pPr>
              <w:pStyle w:val="TableContents"/>
              <w:bidi w:val="0"/>
              <w:spacing w:before="0" w:after="283"/>
              <w:jc w:val="left"/>
              <w:rPr/>
            </w:pPr>
            <w:hyperlink w:anchor="a_074">
              <w:r>
                <w:rPr>
                  <w:rStyle w:val="InternetLink"/>
                  <w:rFonts w:ascii="Times New Roman;Times;Serif" w:hAnsi="Times New Roman;Times;Serif"/>
                  <w:sz w:val="20"/>
                </w:rPr>
                <w:t>Discharge of Obligations.</w:t>
              </w:r>
            </w:hyperlink>
          </w:p>
        </w:tc>
        <w:tc>
          <w:tcPr>
            <w:tcW w:w="245"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34</w:t>
            </w:r>
          </w:p>
        </w:tc>
      </w:tr>
      <w:tr>
        <w:trPr/>
        <w:tc>
          <w:tcPr>
            <w:tcW w:w="1492"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11.03 </w:t>
            </w:r>
          </w:p>
        </w:tc>
        <w:tc>
          <w:tcPr>
            <w:tcW w:w="6657" w:type="dxa"/>
            <w:tcBorders/>
            <w:shd w:fill="FFFFFF" w:val="clear"/>
            <w:vAlign w:val="center"/>
          </w:tcPr>
          <w:p>
            <w:pPr>
              <w:pStyle w:val="TableContents"/>
              <w:bidi w:val="0"/>
              <w:spacing w:before="0" w:after="283"/>
              <w:jc w:val="left"/>
              <w:rPr/>
            </w:pPr>
            <w:hyperlink w:anchor="a_075">
              <w:r>
                <w:rPr>
                  <w:rStyle w:val="InternetLink"/>
                  <w:rFonts w:ascii="Times New Roman;Times;Serif" w:hAnsi="Times New Roman;Times;Serif"/>
                  <w:sz w:val="20"/>
                </w:rPr>
                <w:t>Deposited Moneys to be Held in Trust.</w:t>
              </w:r>
            </w:hyperlink>
          </w:p>
        </w:tc>
        <w:tc>
          <w:tcPr>
            <w:tcW w:w="245" w:type="dxa"/>
            <w:tcBorders/>
            <w:shd w:fill="FFFF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34</w:t>
            </w:r>
          </w:p>
        </w:tc>
      </w:tr>
      <w:tr>
        <w:trPr/>
        <w:tc>
          <w:tcPr>
            <w:tcW w:w="1492"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11.04 </w:t>
            </w:r>
          </w:p>
        </w:tc>
        <w:tc>
          <w:tcPr>
            <w:tcW w:w="6657" w:type="dxa"/>
            <w:tcBorders/>
            <w:shd w:fill="CCEEFF" w:val="clear"/>
            <w:vAlign w:val="center"/>
          </w:tcPr>
          <w:p>
            <w:pPr>
              <w:pStyle w:val="TableContents"/>
              <w:bidi w:val="0"/>
              <w:spacing w:before="0" w:after="283"/>
              <w:jc w:val="left"/>
              <w:rPr/>
            </w:pPr>
            <w:hyperlink w:anchor="a_076">
              <w:r>
                <w:rPr>
                  <w:rStyle w:val="InternetLink"/>
                  <w:rFonts w:ascii="Times New Roman;Times;Serif" w:hAnsi="Times New Roman;Times;Serif"/>
                  <w:sz w:val="20"/>
                </w:rPr>
                <w:t>Payment of Moneys Held by Paying Agents.</w:t>
              </w:r>
            </w:hyperlink>
          </w:p>
        </w:tc>
        <w:tc>
          <w:tcPr>
            <w:tcW w:w="245"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35</w:t>
            </w:r>
          </w:p>
        </w:tc>
      </w:tr>
      <w:tr>
        <w:trPr/>
        <w:tc>
          <w:tcPr>
            <w:tcW w:w="1492"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11.05 </w:t>
            </w:r>
          </w:p>
        </w:tc>
        <w:tc>
          <w:tcPr>
            <w:tcW w:w="6657" w:type="dxa"/>
            <w:tcBorders/>
            <w:shd w:fill="FFFFFF" w:val="clear"/>
            <w:vAlign w:val="center"/>
          </w:tcPr>
          <w:p>
            <w:pPr>
              <w:pStyle w:val="TableContents"/>
              <w:bidi w:val="0"/>
              <w:spacing w:before="0" w:after="283"/>
              <w:jc w:val="left"/>
              <w:rPr/>
            </w:pPr>
            <w:hyperlink w:anchor="a_077">
              <w:r>
                <w:rPr>
                  <w:rStyle w:val="InternetLink"/>
                  <w:rFonts w:ascii="Times New Roman;Times;Serif" w:hAnsi="Times New Roman;Times;Serif"/>
                  <w:sz w:val="20"/>
                </w:rPr>
                <w:t>Repayment to Company.</w:t>
              </w:r>
            </w:hyperlink>
          </w:p>
        </w:tc>
        <w:tc>
          <w:tcPr>
            <w:tcW w:w="245" w:type="dxa"/>
            <w:tcBorders/>
            <w:shd w:fill="FFFF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35</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bdr w:val="single" w:sz="12" w:space="1" w:color="000000"/>
        </w:rPr>
      </w:pPr>
      <w:r>
        <w:rPr>
          <w:bdr w:val="single" w:sz="12" w:space="1" w:color="000000"/>
        </w:rPr>
        <w:t>ii</w:t>
      </w:r>
    </w:p>
    <w:p>
      <w:pPr>
        <w:pStyle w:val="TextBody"/>
        <w:bidi w:val="0"/>
        <w:spacing w:before="0" w:after="0"/>
        <w:ind w:left="0" w:right="0" w:hanging="0"/>
        <w:jc w:val="left"/>
        <w:rPr/>
      </w:pPr>
      <w:r>
        <w:rPr/>
        <w:t> </w:t>
      </w:r>
    </w:p>
    <w:p>
      <w:pPr>
        <w:pStyle w:val="TextBody"/>
        <w:bidi w:val="0"/>
        <w:ind w:left="0" w:right="0" w:hanging="0"/>
        <w:jc w:val="left"/>
        <w:rPr/>
      </w:pPr>
      <w:r>
        <w:rPr/>
        <w:t> </w:t>
      </w:r>
    </w:p>
    <w:tbl>
      <w:tblPr>
        <w:tblW w:w="8514" w:type="dxa"/>
        <w:jc w:val="left"/>
        <w:tblInd w:w="0" w:type="dxa"/>
        <w:tblLayout w:type="fixed"/>
        <w:tblCellMar>
          <w:top w:w="0" w:type="dxa"/>
          <w:left w:w="0" w:type="dxa"/>
          <w:bottom w:w="0" w:type="dxa"/>
          <w:right w:w="0" w:type="dxa"/>
        </w:tblCellMar>
      </w:tblPr>
      <w:tblGrid>
        <w:gridCol w:w="1759"/>
        <w:gridCol w:w="6510"/>
        <w:gridCol w:w="245"/>
      </w:tblGrid>
      <w:tr>
        <w:trPr/>
        <w:tc>
          <w:tcPr>
            <w:tcW w:w="8269" w:type="dxa"/>
            <w:gridSpan w:val="2"/>
            <w:tcBorders/>
            <w:shd w:fill="CCEEFF" w:val="clear"/>
            <w:vAlign w:val="center"/>
          </w:tcPr>
          <w:p>
            <w:pPr>
              <w:pStyle w:val="TableContents"/>
              <w:bidi w:val="0"/>
              <w:spacing w:before="0" w:after="283"/>
              <w:jc w:val="left"/>
              <w:rPr/>
            </w:pPr>
            <w:hyperlink w:anchor="a_078">
              <w:r>
                <w:rPr>
                  <w:rStyle w:val="InternetLink"/>
                  <w:rFonts w:ascii="Times New Roman;Times;Serif" w:hAnsi="Times New Roman;Times;Serif"/>
                  <w:sz w:val="20"/>
                </w:rPr>
                <w:t>ARTICLE 12 IMMUNITY OF INCORPORATORS, SHAREHOLDERS, OFFICERS AND DIRECTORS</w:t>
              </w:r>
            </w:hyperlink>
          </w:p>
        </w:tc>
        <w:tc>
          <w:tcPr>
            <w:tcW w:w="245"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35</w:t>
            </w:r>
          </w:p>
        </w:tc>
      </w:tr>
      <w:tr>
        <w:trPr/>
        <w:tc>
          <w:tcPr>
            <w:tcW w:w="1759"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12.01 </w:t>
            </w:r>
          </w:p>
        </w:tc>
        <w:tc>
          <w:tcPr>
            <w:tcW w:w="6510" w:type="dxa"/>
            <w:tcBorders/>
            <w:shd w:fill="FFFFFF" w:val="clear"/>
            <w:vAlign w:val="center"/>
          </w:tcPr>
          <w:p>
            <w:pPr>
              <w:pStyle w:val="TableContents"/>
              <w:bidi w:val="0"/>
              <w:spacing w:before="0" w:after="283"/>
              <w:jc w:val="left"/>
              <w:rPr/>
            </w:pPr>
            <w:hyperlink w:anchor="a_079">
              <w:r>
                <w:rPr>
                  <w:rStyle w:val="InternetLink"/>
                  <w:rFonts w:ascii="Times New Roman;Times;Serif" w:hAnsi="Times New Roman;Times;Serif"/>
                  <w:sz w:val="20"/>
                </w:rPr>
                <w:t>No Recourse.</w:t>
              </w:r>
            </w:hyperlink>
          </w:p>
        </w:tc>
        <w:tc>
          <w:tcPr>
            <w:tcW w:w="245" w:type="dxa"/>
            <w:tcBorders/>
            <w:shd w:fill="FFFF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35</w:t>
            </w:r>
          </w:p>
        </w:tc>
      </w:tr>
      <w:tr>
        <w:trPr/>
        <w:tc>
          <w:tcPr>
            <w:tcW w:w="1759" w:type="dxa"/>
            <w:tcBorders/>
            <w:shd w:fill="CCEEFF" w:val="clear"/>
            <w:vAlign w:val="center"/>
          </w:tcPr>
          <w:p>
            <w:pPr>
              <w:pStyle w:val="TableContents"/>
              <w:bidi w:val="0"/>
              <w:spacing w:before="0" w:after="283"/>
              <w:jc w:val="left"/>
              <w:rPr/>
            </w:pPr>
            <w:r>
              <w:rPr/>
              <w:t> </w:t>
            </w:r>
          </w:p>
        </w:tc>
        <w:tc>
          <w:tcPr>
            <w:tcW w:w="6510" w:type="dxa"/>
            <w:tcBorders/>
            <w:shd w:fill="CCEEFF" w:val="clear"/>
            <w:vAlign w:val="center"/>
          </w:tcPr>
          <w:p>
            <w:pPr>
              <w:pStyle w:val="TableContents"/>
              <w:bidi w:val="0"/>
              <w:spacing w:before="0" w:after="283"/>
              <w:jc w:val="left"/>
              <w:rPr/>
            </w:pPr>
            <w:r>
              <w:rPr/>
              <w:t> </w:t>
            </w:r>
          </w:p>
        </w:tc>
        <w:tc>
          <w:tcPr>
            <w:tcW w:w="245" w:type="dxa"/>
            <w:tcBorders/>
            <w:shd w:fill="CCEEFF" w:val="clear"/>
            <w:vAlign w:val="center"/>
          </w:tcPr>
          <w:p>
            <w:pPr>
              <w:pStyle w:val="TableContents"/>
              <w:bidi w:val="0"/>
              <w:spacing w:before="0" w:after="283"/>
              <w:jc w:val="center"/>
              <w:rPr/>
            </w:pPr>
            <w:r>
              <w:rPr/>
              <w:t> </w:t>
            </w:r>
          </w:p>
        </w:tc>
      </w:tr>
      <w:tr>
        <w:trPr/>
        <w:tc>
          <w:tcPr>
            <w:tcW w:w="8269" w:type="dxa"/>
            <w:gridSpan w:val="2"/>
            <w:tcBorders/>
            <w:shd w:fill="FFFFFF" w:val="clear"/>
            <w:vAlign w:val="center"/>
          </w:tcPr>
          <w:p>
            <w:pPr>
              <w:pStyle w:val="TableContents"/>
              <w:bidi w:val="0"/>
              <w:spacing w:before="0" w:after="283"/>
              <w:jc w:val="left"/>
              <w:rPr/>
            </w:pPr>
            <w:hyperlink w:anchor="a_080">
              <w:r>
                <w:rPr>
                  <w:rStyle w:val="InternetLink"/>
                  <w:rFonts w:ascii="Times New Roman;Times;Serif" w:hAnsi="Times New Roman;Times;Serif"/>
                  <w:sz w:val="20"/>
                </w:rPr>
                <w:t>ARTICLE 13 MISCELLANEOUS PROVISIONS</w:t>
              </w:r>
            </w:hyperlink>
          </w:p>
        </w:tc>
        <w:tc>
          <w:tcPr>
            <w:tcW w:w="245" w:type="dxa"/>
            <w:tcBorders/>
            <w:shd w:fill="FFFF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36</w:t>
            </w:r>
          </w:p>
        </w:tc>
      </w:tr>
      <w:tr>
        <w:trPr/>
        <w:tc>
          <w:tcPr>
            <w:tcW w:w="1759"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13.01 </w:t>
            </w:r>
          </w:p>
        </w:tc>
        <w:tc>
          <w:tcPr>
            <w:tcW w:w="6510" w:type="dxa"/>
            <w:tcBorders/>
            <w:shd w:fill="CCEEFF" w:val="clear"/>
            <w:vAlign w:val="center"/>
          </w:tcPr>
          <w:p>
            <w:pPr>
              <w:pStyle w:val="TableContents"/>
              <w:bidi w:val="0"/>
              <w:spacing w:before="0" w:after="283"/>
              <w:jc w:val="left"/>
              <w:rPr/>
            </w:pPr>
            <w:hyperlink w:anchor="a_081">
              <w:r>
                <w:rPr>
                  <w:rStyle w:val="InternetLink"/>
                  <w:rFonts w:ascii="Times New Roman;Times;Serif" w:hAnsi="Times New Roman;Times;Serif"/>
                  <w:sz w:val="20"/>
                </w:rPr>
                <w:t>Effect on Successors and Assigns.</w:t>
              </w:r>
            </w:hyperlink>
          </w:p>
        </w:tc>
        <w:tc>
          <w:tcPr>
            <w:tcW w:w="245"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36</w:t>
            </w:r>
          </w:p>
        </w:tc>
      </w:tr>
      <w:tr>
        <w:trPr/>
        <w:tc>
          <w:tcPr>
            <w:tcW w:w="1759"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13.02 </w:t>
            </w:r>
          </w:p>
        </w:tc>
        <w:tc>
          <w:tcPr>
            <w:tcW w:w="6510" w:type="dxa"/>
            <w:tcBorders/>
            <w:shd w:fill="FFFFFF" w:val="clear"/>
            <w:vAlign w:val="center"/>
          </w:tcPr>
          <w:p>
            <w:pPr>
              <w:pStyle w:val="TableContents"/>
              <w:bidi w:val="0"/>
              <w:spacing w:before="0" w:after="283"/>
              <w:jc w:val="left"/>
              <w:rPr/>
            </w:pPr>
            <w:hyperlink w:anchor="a_082">
              <w:r>
                <w:rPr>
                  <w:rStyle w:val="InternetLink"/>
                  <w:rFonts w:ascii="Times New Roman;Times;Serif" w:hAnsi="Times New Roman;Times;Serif"/>
                  <w:sz w:val="20"/>
                </w:rPr>
                <w:t>Actions by Successor.</w:t>
              </w:r>
            </w:hyperlink>
          </w:p>
        </w:tc>
        <w:tc>
          <w:tcPr>
            <w:tcW w:w="245" w:type="dxa"/>
            <w:tcBorders/>
            <w:shd w:fill="FFFF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36</w:t>
            </w:r>
          </w:p>
        </w:tc>
      </w:tr>
      <w:tr>
        <w:trPr/>
        <w:tc>
          <w:tcPr>
            <w:tcW w:w="1759"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13.03 </w:t>
            </w:r>
          </w:p>
        </w:tc>
        <w:tc>
          <w:tcPr>
            <w:tcW w:w="6510" w:type="dxa"/>
            <w:tcBorders/>
            <w:shd w:fill="CCEEFF" w:val="clear"/>
            <w:vAlign w:val="center"/>
          </w:tcPr>
          <w:p>
            <w:pPr>
              <w:pStyle w:val="TableContents"/>
              <w:bidi w:val="0"/>
              <w:spacing w:before="0" w:after="283"/>
              <w:jc w:val="left"/>
              <w:rPr/>
            </w:pPr>
            <w:hyperlink w:anchor="a_083">
              <w:r>
                <w:rPr>
                  <w:rStyle w:val="InternetLink"/>
                  <w:rFonts w:ascii="Times New Roman;Times;Serif" w:hAnsi="Times New Roman;Times;Serif"/>
                  <w:sz w:val="20"/>
                </w:rPr>
                <w:t>Surrender of Company Powers.</w:t>
              </w:r>
            </w:hyperlink>
          </w:p>
        </w:tc>
        <w:tc>
          <w:tcPr>
            <w:tcW w:w="245"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36</w:t>
            </w:r>
          </w:p>
        </w:tc>
      </w:tr>
      <w:tr>
        <w:trPr/>
        <w:tc>
          <w:tcPr>
            <w:tcW w:w="1759"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13.04 </w:t>
            </w:r>
          </w:p>
        </w:tc>
        <w:tc>
          <w:tcPr>
            <w:tcW w:w="6510" w:type="dxa"/>
            <w:tcBorders/>
            <w:shd w:fill="FFFFFF" w:val="clear"/>
            <w:vAlign w:val="center"/>
          </w:tcPr>
          <w:p>
            <w:pPr>
              <w:pStyle w:val="TableContents"/>
              <w:bidi w:val="0"/>
              <w:spacing w:before="0" w:after="283"/>
              <w:jc w:val="left"/>
              <w:rPr/>
            </w:pPr>
            <w:hyperlink w:anchor="a_084">
              <w:r>
                <w:rPr>
                  <w:rStyle w:val="InternetLink"/>
                  <w:rFonts w:ascii="Times New Roman;Times;Serif" w:hAnsi="Times New Roman;Times;Serif"/>
                  <w:sz w:val="20"/>
                </w:rPr>
                <w:t>Notices.</w:t>
              </w:r>
            </w:hyperlink>
          </w:p>
        </w:tc>
        <w:tc>
          <w:tcPr>
            <w:tcW w:w="245" w:type="dxa"/>
            <w:tcBorders/>
            <w:shd w:fill="FFFF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36</w:t>
            </w:r>
          </w:p>
        </w:tc>
      </w:tr>
      <w:tr>
        <w:trPr/>
        <w:tc>
          <w:tcPr>
            <w:tcW w:w="1759"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13.05 </w:t>
            </w:r>
          </w:p>
        </w:tc>
        <w:tc>
          <w:tcPr>
            <w:tcW w:w="6510" w:type="dxa"/>
            <w:tcBorders/>
            <w:shd w:fill="CCEEFF" w:val="clear"/>
            <w:vAlign w:val="center"/>
          </w:tcPr>
          <w:p>
            <w:pPr>
              <w:pStyle w:val="TableContents"/>
              <w:bidi w:val="0"/>
              <w:spacing w:before="0" w:after="283"/>
              <w:jc w:val="left"/>
              <w:rPr/>
            </w:pPr>
            <w:hyperlink w:anchor="a_085">
              <w:r>
                <w:rPr>
                  <w:rStyle w:val="InternetLink"/>
                  <w:rFonts w:ascii="Times New Roman;Times;Serif" w:hAnsi="Times New Roman;Times;Serif"/>
                  <w:sz w:val="20"/>
                </w:rPr>
                <w:t>Governing Law.</w:t>
              </w:r>
            </w:hyperlink>
          </w:p>
        </w:tc>
        <w:tc>
          <w:tcPr>
            <w:tcW w:w="245"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36</w:t>
            </w:r>
          </w:p>
        </w:tc>
      </w:tr>
      <w:tr>
        <w:trPr/>
        <w:tc>
          <w:tcPr>
            <w:tcW w:w="1759"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13.06 </w:t>
            </w:r>
          </w:p>
        </w:tc>
        <w:tc>
          <w:tcPr>
            <w:tcW w:w="6510" w:type="dxa"/>
            <w:tcBorders/>
            <w:shd w:fill="FFFFFF" w:val="clear"/>
            <w:vAlign w:val="center"/>
          </w:tcPr>
          <w:p>
            <w:pPr>
              <w:pStyle w:val="TableContents"/>
              <w:bidi w:val="0"/>
              <w:spacing w:before="0" w:after="283"/>
              <w:jc w:val="left"/>
              <w:rPr/>
            </w:pPr>
            <w:hyperlink w:anchor="a_086">
              <w:r>
                <w:rPr>
                  <w:rStyle w:val="InternetLink"/>
                  <w:rFonts w:ascii="Times New Roman;Times;Serif" w:hAnsi="Times New Roman;Times;Serif"/>
                  <w:sz w:val="20"/>
                </w:rPr>
                <w:t>Treatment of Securities as Debt.</w:t>
              </w:r>
            </w:hyperlink>
          </w:p>
        </w:tc>
        <w:tc>
          <w:tcPr>
            <w:tcW w:w="245" w:type="dxa"/>
            <w:tcBorders/>
            <w:shd w:fill="FFFF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36</w:t>
            </w:r>
          </w:p>
        </w:tc>
      </w:tr>
      <w:tr>
        <w:trPr/>
        <w:tc>
          <w:tcPr>
            <w:tcW w:w="1759"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13.07 </w:t>
            </w:r>
          </w:p>
        </w:tc>
        <w:tc>
          <w:tcPr>
            <w:tcW w:w="6510" w:type="dxa"/>
            <w:tcBorders/>
            <w:shd w:fill="CCEEFF" w:val="clear"/>
            <w:vAlign w:val="center"/>
          </w:tcPr>
          <w:p>
            <w:pPr>
              <w:pStyle w:val="TableContents"/>
              <w:bidi w:val="0"/>
              <w:spacing w:before="0" w:after="283"/>
              <w:jc w:val="left"/>
              <w:rPr/>
            </w:pPr>
            <w:hyperlink w:anchor="a_087">
              <w:r>
                <w:rPr>
                  <w:rStyle w:val="InternetLink"/>
                  <w:rFonts w:ascii="Times New Roman;Times;Serif" w:hAnsi="Times New Roman;Times;Serif"/>
                  <w:sz w:val="20"/>
                </w:rPr>
                <w:t>Certificates and Opinions as to Conditions Precedent.</w:t>
              </w:r>
            </w:hyperlink>
          </w:p>
        </w:tc>
        <w:tc>
          <w:tcPr>
            <w:tcW w:w="245"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36</w:t>
            </w:r>
          </w:p>
        </w:tc>
      </w:tr>
      <w:tr>
        <w:trPr/>
        <w:tc>
          <w:tcPr>
            <w:tcW w:w="1759"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13.08 </w:t>
            </w:r>
          </w:p>
        </w:tc>
        <w:tc>
          <w:tcPr>
            <w:tcW w:w="6510" w:type="dxa"/>
            <w:tcBorders/>
            <w:shd w:fill="FFFFFF" w:val="clear"/>
            <w:vAlign w:val="center"/>
          </w:tcPr>
          <w:p>
            <w:pPr>
              <w:pStyle w:val="TableContents"/>
              <w:bidi w:val="0"/>
              <w:spacing w:before="0" w:after="283"/>
              <w:jc w:val="left"/>
              <w:rPr/>
            </w:pPr>
            <w:hyperlink w:anchor="a_088">
              <w:r>
                <w:rPr>
                  <w:rStyle w:val="InternetLink"/>
                  <w:rFonts w:ascii="Times New Roman;Times;Serif" w:hAnsi="Times New Roman;Times;Serif"/>
                  <w:sz w:val="20"/>
                </w:rPr>
                <w:t>Payments on Business Days.</w:t>
              </w:r>
            </w:hyperlink>
          </w:p>
        </w:tc>
        <w:tc>
          <w:tcPr>
            <w:tcW w:w="245" w:type="dxa"/>
            <w:tcBorders/>
            <w:shd w:fill="FFFF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37</w:t>
            </w:r>
          </w:p>
        </w:tc>
      </w:tr>
      <w:tr>
        <w:trPr/>
        <w:tc>
          <w:tcPr>
            <w:tcW w:w="1759"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13.09 </w:t>
            </w:r>
          </w:p>
        </w:tc>
        <w:tc>
          <w:tcPr>
            <w:tcW w:w="6510" w:type="dxa"/>
            <w:tcBorders/>
            <w:shd w:fill="CCEEFF" w:val="clear"/>
            <w:vAlign w:val="center"/>
          </w:tcPr>
          <w:p>
            <w:pPr>
              <w:pStyle w:val="TableContents"/>
              <w:bidi w:val="0"/>
              <w:spacing w:before="0" w:after="283"/>
              <w:jc w:val="left"/>
              <w:rPr/>
            </w:pPr>
            <w:hyperlink w:anchor="a_089">
              <w:r>
                <w:rPr>
                  <w:rStyle w:val="InternetLink"/>
                  <w:rFonts w:ascii="Times New Roman;Times;Serif" w:hAnsi="Times New Roman;Times;Serif"/>
                  <w:sz w:val="20"/>
                </w:rPr>
                <w:t>Conflict with Trust Indenture Act.</w:t>
              </w:r>
            </w:hyperlink>
          </w:p>
        </w:tc>
        <w:tc>
          <w:tcPr>
            <w:tcW w:w="245"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37</w:t>
            </w:r>
          </w:p>
        </w:tc>
      </w:tr>
      <w:tr>
        <w:trPr/>
        <w:tc>
          <w:tcPr>
            <w:tcW w:w="1759"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13.10 </w:t>
            </w:r>
          </w:p>
        </w:tc>
        <w:tc>
          <w:tcPr>
            <w:tcW w:w="6510" w:type="dxa"/>
            <w:tcBorders/>
            <w:shd w:fill="FFFFFF" w:val="clear"/>
            <w:vAlign w:val="center"/>
          </w:tcPr>
          <w:p>
            <w:pPr>
              <w:pStyle w:val="TableContents"/>
              <w:bidi w:val="0"/>
              <w:spacing w:before="0" w:after="283"/>
              <w:jc w:val="left"/>
              <w:rPr/>
            </w:pPr>
            <w:hyperlink w:anchor="a_090">
              <w:r>
                <w:rPr>
                  <w:rStyle w:val="InternetLink"/>
                  <w:rFonts w:ascii="Times New Roman;Times;Serif" w:hAnsi="Times New Roman;Times;Serif"/>
                  <w:sz w:val="20"/>
                </w:rPr>
                <w:t>Indenture and Securities Solely Corporate Obligations.</w:t>
              </w:r>
            </w:hyperlink>
          </w:p>
        </w:tc>
        <w:tc>
          <w:tcPr>
            <w:tcW w:w="245" w:type="dxa"/>
            <w:tcBorders/>
            <w:shd w:fill="FFFF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37</w:t>
            </w:r>
          </w:p>
        </w:tc>
      </w:tr>
      <w:tr>
        <w:trPr/>
        <w:tc>
          <w:tcPr>
            <w:tcW w:w="1759"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13.11 </w:t>
            </w:r>
          </w:p>
        </w:tc>
        <w:tc>
          <w:tcPr>
            <w:tcW w:w="6510" w:type="dxa"/>
            <w:tcBorders/>
            <w:shd w:fill="CCEEFF" w:val="clear"/>
            <w:vAlign w:val="center"/>
          </w:tcPr>
          <w:p>
            <w:pPr>
              <w:pStyle w:val="TableContents"/>
              <w:bidi w:val="0"/>
              <w:spacing w:before="0" w:after="283"/>
              <w:jc w:val="left"/>
              <w:rPr/>
            </w:pPr>
            <w:hyperlink w:anchor="a_091">
              <w:r>
                <w:rPr>
                  <w:rStyle w:val="InternetLink"/>
                  <w:rFonts w:ascii="Times New Roman;Times;Serif" w:hAnsi="Times New Roman;Times;Serif"/>
                  <w:sz w:val="20"/>
                </w:rPr>
                <w:t>Counterparts.</w:t>
              </w:r>
            </w:hyperlink>
          </w:p>
        </w:tc>
        <w:tc>
          <w:tcPr>
            <w:tcW w:w="245"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37</w:t>
            </w:r>
          </w:p>
        </w:tc>
      </w:tr>
      <w:tr>
        <w:trPr/>
        <w:tc>
          <w:tcPr>
            <w:tcW w:w="1759"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13.12 </w:t>
            </w:r>
          </w:p>
        </w:tc>
        <w:tc>
          <w:tcPr>
            <w:tcW w:w="6510" w:type="dxa"/>
            <w:tcBorders/>
            <w:shd w:fill="FFFFFF" w:val="clear"/>
            <w:vAlign w:val="center"/>
          </w:tcPr>
          <w:p>
            <w:pPr>
              <w:pStyle w:val="TableContents"/>
              <w:bidi w:val="0"/>
              <w:spacing w:before="0" w:after="283"/>
              <w:jc w:val="left"/>
              <w:rPr/>
            </w:pPr>
            <w:hyperlink w:anchor="a_093">
              <w:r>
                <w:rPr>
                  <w:rStyle w:val="InternetLink"/>
                  <w:rFonts w:ascii="Times New Roman;Times;Serif" w:hAnsi="Times New Roman;Times;Serif"/>
                  <w:sz w:val="20"/>
                </w:rPr>
                <w:t>Separability.</w:t>
              </w:r>
            </w:hyperlink>
          </w:p>
        </w:tc>
        <w:tc>
          <w:tcPr>
            <w:tcW w:w="245" w:type="dxa"/>
            <w:tcBorders/>
            <w:shd w:fill="FFFF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38</w:t>
            </w:r>
          </w:p>
        </w:tc>
      </w:tr>
      <w:tr>
        <w:trPr/>
        <w:tc>
          <w:tcPr>
            <w:tcW w:w="1759"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13.13 </w:t>
            </w:r>
          </w:p>
        </w:tc>
        <w:tc>
          <w:tcPr>
            <w:tcW w:w="6510" w:type="dxa"/>
            <w:tcBorders/>
            <w:shd w:fill="CCEEFF" w:val="clear"/>
            <w:vAlign w:val="center"/>
          </w:tcPr>
          <w:p>
            <w:pPr>
              <w:pStyle w:val="TableContents"/>
              <w:bidi w:val="0"/>
              <w:spacing w:before="0" w:after="283"/>
              <w:jc w:val="left"/>
              <w:rPr/>
            </w:pPr>
            <w:hyperlink w:anchor="a_093">
              <w:r>
                <w:rPr>
                  <w:rStyle w:val="InternetLink"/>
                  <w:rFonts w:ascii="Times New Roman;Times;Serif" w:hAnsi="Times New Roman;Times;Serif"/>
                  <w:sz w:val="20"/>
                </w:rPr>
                <w:t>Compliance Certificates.</w:t>
              </w:r>
            </w:hyperlink>
          </w:p>
        </w:tc>
        <w:tc>
          <w:tcPr>
            <w:tcW w:w="245"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38</w:t>
            </w:r>
          </w:p>
        </w:tc>
      </w:tr>
      <w:tr>
        <w:trPr/>
        <w:tc>
          <w:tcPr>
            <w:tcW w:w="1759" w:type="dxa"/>
            <w:tcBorders/>
            <w:shd w:fill="FFFFFF" w:val="clear"/>
            <w:vAlign w:val="center"/>
          </w:tcPr>
          <w:p>
            <w:pPr>
              <w:pStyle w:val="TableContents"/>
              <w:bidi w:val="0"/>
              <w:spacing w:before="0" w:after="283"/>
              <w:jc w:val="left"/>
              <w:rPr/>
            </w:pPr>
            <w:r>
              <w:rPr/>
              <w:t> </w:t>
            </w:r>
          </w:p>
        </w:tc>
        <w:tc>
          <w:tcPr>
            <w:tcW w:w="6510" w:type="dxa"/>
            <w:tcBorders/>
            <w:shd w:fill="FFFFFF" w:val="clear"/>
            <w:vAlign w:val="center"/>
          </w:tcPr>
          <w:p>
            <w:pPr>
              <w:pStyle w:val="TableContents"/>
              <w:bidi w:val="0"/>
              <w:spacing w:before="0" w:after="283"/>
              <w:jc w:val="left"/>
              <w:rPr/>
            </w:pPr>
            <w:r>
              <w:rPr/>
              <w:t> </w:t>
            </w:r>
          </w:p>
        </w:tc>
        <w:tc>
          <w:tcPr>
            <w:tcW w:w="245" w:type="dxa"/>
            <w:tcBorders/>
            <w:shd w:fill="FFFFFF" w:val="clear"/>
            <w:vAlign w:val="center"/>
          </w:tcPr>
          <w:p>
            <w:pPr>
              <w:pStyle w:val="TableContents"/>
              <w:bidi w:val="0"/>
              <w:spacing w:before="0" w:after="283"/>
              <w:jc w:val="center"/>
              <w:rPr/>
            </w:pPr>
            <w:r>
              <w:rPr/>
              <w:t> </w:t>
            </w:r>
          </w:p>
        </w:tc>
      </w:tr>
      <w:tr>
        <w:trPr/>
        <w:tc>
          <w:tcPr>
            <w:tcW w:w="8269" w:type="dxa"/>
            <w:gridSpan w:val="2"/>
            <w:tcBorders/>
            <w:shd w:fill="CCEEFF" w:val="clear"/>
            <w:vAlign w:val="center"/>
          </w:tcPr>
          <w:p>
            <w:pPr>
              <w:pStyle w:val="TableContents"/>
              <w:bidi w:val="0"/>
              <w:spacing w:before="0" w:after="283"/>
              <w:jc w:val="left"/>
              <w:rPr/>
            </w:pPr>
            <w:hyperlink w:anchor="a_094">
              <w:r>
                <w:rPr>
                  <w:rStyle w:val="InternetLink"/>
                  <w:rFonts w:ascii="Times New Roman;Times;Serif" w:hAnsi="Times New Roman;Times;Serif"/>
                  <w:sz w:val="20"/>
                </w:rPr>
                <w:t>ARTICLE 14 SUBORDINATION OF SECURITIES</w:t>
              </w:r>
            </w:hyperlink>
          </w:p>
        </w:tc>
        <w:tc>
          <w:tcPr>
            <w:tcW w:w="245"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38</w:t>
            </w:r>
          </w:p>
        </w:tc>
      </w:tr>
      <w:tr>
        <w:trPr/>
        <w:tc>
          <w:tcPr>
            <w:tcW w:w="1759"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14.01</w:t>
            </w:r>
          </w:p>
        </w:tc>
        <w:tc>
          <w:tcPr>
            <w:tcW w:w="6510" w:type="dxa"/>
            <w:tcBorders/>
            <w:shd w:fill="FFFFFF" w:val="clear"/>
            <w:vAlign w:val="center"/>
          </w:tcPr>
          <w:p>
            <w:pPr>
              <w:pStyle w:val="TableContents"/>
              <w:bidi w:val="0"/>
              <w:spacing w:before="0" w:after="283"/>
              <w:jc w:val="left"/>
              <w:rPr/>
            </w:pPr>
            <w:hyperlink w:anchor="a_095">
              <w:r>
                <w:rPr>
                  <w:rStyle w:val="InternetLink"/>
                  <w:rFonts w:ascii="Times New Roman;Times;Serif" w:hAnsi="Times New Roman;Times;Serif"/>
                  <w:sz w:val="20"/>
                </w:rPr>
                <w:t>Subordination Terms.</w:t>
              </w:r>
            </w:hyperlink>
          </w:p>
        </w:tc>
        <w:tc>
          <w:tcPr>
            <w:tcW w:w="245" w:type="dxa"/>
            <w:tcBorders/>
            <w:shd w:fill="FFFF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38</w:t>
            </w:r>
          </w:p>
        </w:tc>
      </w:tr>
    </w:tbl>
    <w:p>
      <w:pPr>
        <w:pStyle w:val="TextBody"/>
        <w:bidi w:val="0"/>
        <w:spacing w:before="0" w:after="0"/>
        <w:ind w:left="0" w:right="0" w:hanging="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33"/>
        <w:gridCol w:w="9934"/>
      </w:tblGrid>
      <w:tr>
        <w:trPr/>
        <w:tc>
          <w:tcPr>
            <w:tcW w:w="38"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w:t>
            </w:r>
          </w:p>
        </w:tc>
        <w:tc>
          <w:tcPr>
            <w:tcW w:w="9934"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This Table of Contents does not constitute part of the Indenture and shall not have any bearing on the interpretation of any of its terms or provisions.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bdr w:val="single" w:sz="12" w:space="1" w:color="000000"/>
        </w:rPr>
      </w:pPr>
      <w:r>
        <w:rPr>
          <w:bdr w:val="single" w:sz="12" w:space="1" w:color="000000"/>
        </w:rPr>
        <w:t>iii</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INDENTURE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INDENTURE</w:t>
      </w:r>
      <w:r>
        <w:rPr>
          <w:rFonts w:ascii="Times New Roman;Times;Serif" w:hAnsi="Times New Roman;Times;Serif"/>
          <w:b w:val="false"/>
          <w:i w:val="false"/>
          <w:caps w:val="false"/>
          <w:smallCaps w:val="false"/>
          <w:sz w:val="20"/>
        </w:rPr>
        <w:t>, dated as of [·], 20[·], among Niki BioSolutions, Inc., a Delaware company and, subject to the provisions of Article Ten, shall also include its successors and assigns (the “Company”), and [TRUSTEE], as trustee (the “Trustee”).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WHEREAS</w:t>
      </w:r>
      <w:r>
        <w:rPr>
          <w:rFonts w:ascii="Times New Roman;Times;Serif" w:hAnsi="Times New Roman;Times;Serif"/>
          <w:b w:val="false"/>
          <w:i w:val="false"/>
          <w:caps w:val="false"/>
          <w:smallCaps w:val="false"/>
          <w:sz w:val="20"/>
        </w:rPr>
        <w:t>, for its lawful corporate purposes, the Company has duly authorized the execution and delivery of this Indenture to provide for the issuance of subordinated debt securities (hereinafter referred to as the “Securities”), in an unlimited aggregate principal amount to be issued from time to time in one or more series as in this Indenture provided, as registered Securities without coupons, to be authenticated by the certificate of the Trustee;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WHEREAS</w:t>
      </w:r>
      <w:r>
        <w:rPr>
          <w:rFonts w:ascii="Times New Roman;Times;Serif" w:hAnsi="Times New Roman;Times;Serif"/>
          <w:b w:val="false"/>
          <w:i w:val="false"/>
          <w:caps w:val="false"/>
          <w:smallCaps w:val="false"/>
          <w:sz w:val="20"/>
        </w:rPr>
        <w:t>, to provide the terms and conditions upon which the Securities are to be authenticated, issued and delivered, the Company has duly authorized the execution of this Indenture; and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WHEREAS</w:t>
      </w:r>
      <w:r>
        <w:rPr>
          <w:rFonts w:ascii="Times New Roman;Times;Serif" w:hAnsi="Times New Roman;Times;Serif"/>
          <w:b w:val="false"/>
          <w:i w:val="false"/>
          <w:caps w:val="false"/>
          <w:smallCaps w:val="false"/>
          <w:sz w:val="20"/>
        </w:rPr>
        <w:t>, all things necessary to make this Indenture a valid agreement of the Company, in accordance with its terms, have been done.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NOW, THEREFORE</w:t>
      </w:r>
      <w:r>
        <w:rPr>
          <w:rFonts w:ascii="Times New Roman;Times;Serif" w:hAnsi="Times New Roman;Times;Serif"/>
          <w:b w:val="false"/>
          <w:i w:val="false"/>
          <w:caps w:val="false"/>
          <w:smallCaps w:val="false"/>
          <w:sz w:val="20"/>
        </w:rPr>
        <w:t>, in consideration of the premises and the purchase of the Securities by the holders thereof, it is mutually covenanted and agreed as follows for the equal and ratable benefit of the holders of Securities: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bookmarkStart w:id="112" w:name="a_0012"/>
      <w:bookmarkEnd w:id="112"/>
      <w:r>
        <w:rPr>
          <w:rFonts w:ascii="Times New Roman;Times;Serif" w:hAnsi="Times New Roman;Times;Serif"/>
          <w:b/>
          <w:i w:val="false"/>
          <w:caps w:val="false"/>
          <w:smallCaps w:val="false"/>
          <w:sz w:val="20"/>
        </w:rPr>
        <w:t>ARTICLE 1</w:t>
        <w:br/>
        <w:br/>
        <w:t>DEFINITIONS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bookmarkStart w:id="113" w:name="a_0022"/>
      <w:bookmarkEnd w:id="113"/>
      <w:r>
        <w:rPr>
          <w:rFonts w:ascii="Times New Roman;Times;Serif" w:hAnsi="Times New Roman;Times;Serif"/>
          <w:b/>
          <w:i w:val="false"/>
          <w:caps w:val="false"/>
          <w:smallCaps w:val="false"/>
          <w:sz w:val="20"/>
        </w:rPr>
        <w:t>Section 1.01 Definitions of Terms.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terms defined in this Section (except as in this Indenture or any indenture supplemental hereto otherwise expressly provided or unless the context otherwise requires) for all purposes of this Indenture and of any indenture supplemental hereto shall have the respective meanings specified in this Section and shall include the plural as well as the singular. All other terms used in this Indenture that are defined in the Trust Indenture Act of 1939, as amended, or that are by reference in such Act defined in the Securities Act of 1933, as amended (except as herein or any indenture supplemental hereto otherwise expressly provided or unless the context otherwise requires), shall have the meanings assigned to such terms in said Trust Indenture Act and in said Securities Act as in force at the date of the execution of this instrument.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i/>
          <w:caps w:val="false"/>
          <w:smallCaps w:val="false"/>
          <w:sz w:val="20"/>
        </w:rPr>
        <w:t>Authenticating Agent</w:t>
      </w:r>
      <w:r>
        <w:rPr>
          <w:rFonts w:ascii="Times New Roman;Times;Serif" w:hAnsi="Times New Roman;Times;Serif"/>
          <w:b w:val="false"/>
          <w:i w:val="false"/>
          <w:caps w:val="false"/>
          <w:smallCaps w:val="false"/>
          <w:sz w:val="20"/>
        </w:rPr>
        <w:t>” means an authenticating agent with respect to all or any of the series of Securities appointed by the Trustee pursuant to Section 2.10.</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i/>
          <w:caps w:val="false"/>
          <w:smallCaps w:val="false"/>
          <w:sz w:val="20"/>
        </w:rPr>
        <w:t>Bankruptcy Law</w:t>
      </w:r>
      <w:r>
        <w:rPr>
          <w:rFonts w:ascii="Times New Roman;Times;Serif" w:hAnsi="Times New Roman;Times;Serif"/>
          <w:b w:val="false"/>
          <w:i w:val="false"/>
          <w:caps w:val="false"/>
          <w:smallCaps w:val="false"/>
          <w:sz w:val="20"/>
        </w:rPr>
        <w:t>” means Title 11, U.S. Code, or any similar federal or state law for the relief of debtors.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i/>
          <w:caps w:val="false"/>
          <w:smallCaps w:val="false"/>
          <w:sz w:val="20"/>
        </w:rPr>
        <w:t>Board of Directors</w:t>
      </w:r>
      <w:r>
        <w:rPr>
          <w:rFonts w:ascii="Times New Roman;Times;Serif" w:hAnsi="Times New Roman;Times;Serif"/>
          <w:b w:val="false"/>
          <w:i w:val="false"/>
          <w:caps w:val="false"/>
          <w:smallCaps w:val="false"/>
          <w:sz w:val="20"/>
        </w:rPr>
        <w:t>” means the Board of Directors of the Company or any duly authorized committee of such Board.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i/>
          <w:caps w:val="false"/>
          <w:smallCaps w:val="false"/>
          <w:sz w:val="20"/>
        </w:rPr>
        <w:t>Board Resolution</w:t>
      </w:r>
      <w:r>
        <w:rPr>
          <w:rFonts w:ascii="Times New Roman;Times;Serif" w:hAnsi="Times New Roman;Times;Serif"/>
          <w:b w:val="false"/>
          <w:i w:val="false"/>
          <w:caps w:val="false"/>
          <w:smallCaps w:val="false"/>
          <w:sz w:val="20"/>
        </w:rPr>
        <w:t>” means a copy of a resolution certified by the Secretary or an Assistant Secretary of the Company to have been duly adopted by the Board of Directors and to be in full force and effect on the date of such certification.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i/>
          <w:caps w:val="false"/>
          <w:smallCaps w:val="false"/>
          <w:sz w:val="20"/>
        </w:rPr>
        <w:t>Business Day</w:t>
      </w:r>
      <w:r>
        <w:rPr>
          <w:rFonts w:ascii="Times New Roman;Times;Serif" w:hAnsi="Times New Roman;Times;Serif"/>
          <w:b w:val="false"/>
          <w:i w:val="false"/>
          <w:caps w:val="false"/>
          <w:smallCaps w:val="false"/>
          <w:sz w:val="20"/>
        </w:rPr>
        <w:t>” means, with respect to any series of Securities, any day other than a day on which federal or state banking institutions in the Borough of Manhattan, the City of New York, or in the city of the Corporate Trust Office of the Trustee, are authorized or obligated by law, executive order or regulation to close.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bdr w:val="single" w:sz="12" w:space="1" w:color="000000"/>
        </w:rPr>
      </w:pPr>
      <w:r>
        <w:rPr>
          <w:bdr w:val="single" w:sz="12" w:space="1" w:color="000000"/>
        </w:rPr>
        <w:t>1</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i/>
          <w:caps w:val="false"/>
          <w:smallCaps w:val="false"/>
          <w:sz w:val="20"/>
        </w:rPr>
        <w:t>Certificate</w:t>
      </w:r>
      <w:r>
        <w:rPr>
          <w:rFonts w:ascii="Times New Roman;Times;Serif" w:hAnsi="Times New Roman;Times;Serif"/>
          <w:b w:val="false"/>
          <w:i w:val="false"/>
          <w:caps w:val="false"/>
          <w:smallCaps w:val="false"/>
          <w:sz w:val="20"/>
        </w:rPr>
        <w:t>” means a certificate signed by any Officer. The Certificate need not comply with the provisions of Section 13.07.</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i/>
          <w:caps w:val="false"/>
          <w:smallCaps w:val="false"/>
          <w:sz w:val="20"/>
        </w:rPr>
        <w:t>Corporate Trust Office</w:t>
      </w:r>
      <w:r>
        <w:rPr>
          <w:rFonts w:ascii="Times New Roman;Times;Serif" w:hAnsi="Times New Roman;Times;Serif"/>
          <w:b w:val="false"/>
          <w:i w:val="false"/>
          <w:caps w:val="false"/>
          <w:smallCaps w:val="false"/>
          <w:sz w:val="20"/>
        </w:rPr>
        <w:t>” means the office of the Trustee at which, at any particular time, its corporate trust business shall be principally administered, which office at the date hereof is located at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i/>
          <w:caps w:val="false"/>
          <w:smallCaps w:val="false"/>
          <w:sz w:val="20"/>
        </w:rPr>
        <w:t>Custodian</w:t>
      </w:r>
      <w:r>
        <w:rPr>
          <w:rFonts w:ascii="Times New Roman;Times;Serif" w:hAnsi="Times New Roman;Times;Serif"/>
          <w:b w:val="false"/>
          <w:i w:val="false"/>
          <w:caps w:val="false"/>
          <w:smallCaps w:val="false"/>
          <w:sz w:val="20"/>
        </w:rPr>
        <w:t>” means any receiver, trustee, assignee, liquidator or similar official under any Bankruptcy Law.</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i/>
          <w:caps w:val="false"/>
          <w:smallCaps w:val="false"/>
          <w:sz w:val="20"/>
        </w:rPr>
        <w:t>Default</w:t>
      </w:r>
      <w:r>
        <w:rPr>
          <w:rFonts w:ascii="Times New Roman;Times;Serif" w:hAnsi="Times New Roman;Times;Serif"/>
          <w:b w:val="false"/>
          <w:i w:val="false"/>
          <w:caps w:val="false"/>
          <w:smallCaps w:val="false"/>
          <w:sz w:val="20"/>
        </w:rPr>
        <w:t>” means any event, act or condition that with notice or lapse of time, or both, would constitute an Event of Default.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i/>
          <w:caps w:val="false"/>
          <w:smallCaps w:val="false"/>
          <w:sz w:val="20"/>
        </w:rPr>
        <w:t>Depositary</w:t>
      </w:r>
      <w:r>
        <w:rPr>
          <w:rFonts w:ascii="Times New Roman;Times;Serif" w:hAnsi="Times New Roman;Times;Serif"/>
          <w:b w:val="false"/>
          <w:i w:val="false"/>
          <w:caps w:val="false"/>
          <w:smallCaps w:val="false"/>
          <w:sz w:val="20"/>
        </w:rPr>
        <w:t>” means, with respect to Securities of any series for which the Company shall determine that such Securities will be issued as a Global Security, The Depository Trust Company, New York, New York, another clearing agency, or any successor registered as a clearing agency under the Securities and Exchange Act of 1934, as amended (the “Exchange Act”), or other applicable statute or regulation, which, in each case, shall be designated by the Company pursuant to either Section 2.01 or 2.11.</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i/>
          <w:caps w:val="false"/>
          <w:smallCaps w:val="false"/>
          <w:sz w:val="20"/>
        </w:rPr>
        <w:t>Event of Default</w:t>
      </w:r>
      <w:r>
        <w:rPr>
          <w:rFonts w:ascii="Times New Roman;Times;Serif" w:hAnsi="Times New Roman;Times;Serif"/>
          <w:b w:val="false"/>
          <w:i w:val="false"/>
          <w:caps w:val="false"/>
          <w:smallCaps w:val="false"/>
          <w:sz w:val="20"/>
        </w:rPr>
        <w:t>” means, with respect to Securities of a particular series, any event specified in Section 6.01, continued for the period of time, if any, therein designated.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i/>
          <w:caps w:val="false"/>
          <w:smallCaps w:val="false"/>
          <w:sz w:val="20"/>
        </w:rPr>
        <w:t>Global Security</w:t>
      </w:r>
      <w:r>
        <w:rPr>
          <w:rFonts w:ascii="Times New Roman;Times;Serif" w:hAnsi="Times New Roman;Times;Serif"/>
          <w:b w:val="false"/>
          <w:i w:val="false"/>
          <w:caps w:val="false"/>
          <w:smallCaps w:val="false"/>
          <w:sz w:val="20"/>
        </w:rPr>
        <w:t>” means, with respect to any series of Securities, a Security executed by the Company and delivered by the Trustee to the Depositary or pursuant to the Depositary’s instruction, all in accordance with the Indenture, which shall be registered in the name of the Depositary or its nominee.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i/>
          <w:caps w:val="false"/>
          <w:smallCaps w:val="false"/>
          <w:sz w:val="20"/>
        </w:rPr>
        <w:t>Governmental Obligations</w:t>
      </w:r>
      <w:r>
        <w:rPr>
          <w:rFonts w:ascii="Times New Roman;Times;Serif" w:hAnsi="Times New Roman;Times;Serif"/>
          <w:b w:val="false"/>
          <w:i w:val="false"/>
          <w:caps w:val="false"/>
          <w:smallCaps w:val="false"/>
          <w:sz w:val="20"/>
        </w:rPr>
        <w:t>” means securities that are (a) direct obligations of the United States of America for the payment of which its full faith and credit is pledged or (b) obligations of a Person controlled or supervised by and acting as an agency or instrumentality of the United States of America, the payment of which is unconditionally guaranteed as a full faith and credit obligation by the United States of America that, in either case, are not callable or redeemable at the option of the issuer thereof at any time prior to the stated maturity of the Securities, and shall also include a depositary receipt issued by a bank or trust company as custodian with respect to any such Governmental Obligation or a specific payment of principal of or interest on any such Governmental Obligation held by such custodian for the account of the holder of such depositary receipt; provided, however, that (except as required by law) such custodian is not authorized to make any deduction from the amount payable to the holder of such depositary receipt from any amount received by the custodian in respect of the Governmental Obligation or the specific payment of principal of or interest on the Governmental Obligation evidenced by such depositary receipt.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i/>
          <w:caps w:val="false"/>
          <w:smallCaps w:val="false"/>
          <w:sz w:val="20"/>
        </w:rPr>
        <w:t>herein</w:t>
      </w:r>
      <w:r>
        <w:rPr>
          <w:rFonts w:ascii="Times New Roman;Times;Serif" w:hAnsi="Times New Roman;Times;Serif"/>
          <w:b w:val="false"/>
          <w:i w:val="false"/>
          <w:caps w:val="false"/>
          <w:smallCaps w:val="false"/>
          <w:sz w:val="20"/>
        </w:rPr>
        <w:t>”, “</w:t>
      </w:r>
      <w:r>
        <w:rPr>
          <w:rFonts w:ascii="Times New Roman;Times;Serif" w:hAnsi="Times New Roman;Times;Serif"/>
          <w:b/>
          <w:i/>
          <w:caps w:val="false"/>
          <w:smallCaps w:val="false"/>
          <w:sz w:val="20"/>
        </w:rPr>
        <w:t>hereof</w:t>
      </w:r>
      <w:r>
        <w:rPr>
          <w:rFonts w:ascii="Times New Roman;Times;Serif" w:hAnsi="Times New Roman;Times;Serif"/>
          <w:b/>
          <w:i w:val="false"/>
          <w:caps w:val="false"/>
          <w:smallCaps w:val="false"/>
          <w:sz w:val="20"/>
        </w:rPr>
        <w:t>”</w:t>
      </w:r>
      <w:r>
        <w:rPr>
          <w:rFonts w:ascii="Times New Roman;Times;Serif" w:hAnsi="Times New Roman;Times;Serif"/>
          <w:b w:val="false"/>
          <w:i w:val="false"/>
          <w:caps w:val="false"/>
          <w:smallCaps w:val="false"/>
          <w:sz w:val="20"/>
        </w:rPr>
        <w:t> and “</w:t>
      </w:r>
      <w:r>
        <w:rPr>
          <w:rFonts w:ascii="Times New Roman;Times;Serif" w:hAnsi="Times New Roman;Times;Serif"/>
          <w:b/>
          <w:i/>
          <w:caps w:val="false"/>
          <w:smallCaps w:val="false"/>
          <w:sz w:val="20"/>
        </w:rPr>
        <w:t>hereunder</w:t>
      </w:r>
      <w:r>
        <w:rPr>
          <w:rFonts w:ascii="Times New Roman;Times;Serif" w:hAnsi="Times New Roman;Times;Serif"/>
          <w:b w:val="false"/>
          <w:i w:val="false"/>
          <w:caps w:val="false"/>
          <w:smallCaps w:val="false"/>
          <w:sz w:val="20"/>
        </w:rPr>
        <w:t>”, and other words of similar import, refer to this Indenture as a whole and not to any particular Article, Section or other subdivision.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i/>
          <w:caps w:val="false"/>
          <w:smallCaps w:val="false"/>
          <w:sz w:val="20"/>
        </w:rPr>
        <w:t>Indenture</w:t>
      </w:r>
      <w:r>
        <w:rPr>
          <w:rFonts w:ascii="Times New Roman;Times;Serif" w:hAnsi="Times New Roman;Times;Serif"/>
          <w:b w:val="false"/>
          <w:i w:val="false"/>
          <w:caps w:val="false"/>
          <w:smallCaps w:val="false"/>
          <w:sz w:val="20"/>
        </w:rPr>
        <w:t>” means this instrument as originally executed or as it may from time to time be supplemented or amended by one or more indentures supplemental hereto entered into in accordance with the terms 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bdr w:val="single" w:sz="12" w:space="1" w:color="000000"/>
        </w:rPr>
      </w:pPr>
      <w:r>
        <w:rPr>
          <w:bdr w:val="single" w:sz="12" w:space="1" w:color="000000"/>
        </w:rPr>
        <w:t>2</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i/>
          <w:caps w:val="false"/>
          <w:smallCaps w:val="false"/>
          <w:sz w:val="20"/>
        </w:rPr>
        <w:t>Interest Payment Date</w:t>
      </w:r>
      <w:r>
        <w:rPr>
          <w:rFonts w:ascii="Times New Roman;Times;Serif" w:hAnsi="Times New Roman;Times;Serif"/>
          <w:b w:val="false"/>
          <w:i w:val="false"/>
          <w:caps w:val="false"/>
          <w:smallCaps w:val="false"/>
          <w:sz w:val="20"/>
        </w:rPr>
        <w:t>”, when used with respect to any installment of interest on a Security of a particular series, means the date specified in such Security or in a Board Resolution or in an indenture supplemental hereto with respect to such series as the fixed date on which an installment of interest with respect to Securities of that series is due and payable.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i/>
          <w:caps w:val="false"/>
          <w:smallCaps w:val="false"/>
          <w:sz w:val="20"/>
        </w:rPr>
        <w:t>Officer</w:t>
      </w:r>
      <w:r>
        <w:rPr>
          <w:rFonts w:ascii="Times New Roman;Times;Serif" w:hAnsi="Times New Roman;Times;Serif"/>
          <w:b w:val="false"/>
          <w:i w:val="false"/>
          <w:caps w:val="false"/>
          <w:smallCaps w:val="false"/>
          <w:sz w:val="20"/>
        </w:rPr>
        <w:t>” means, with respect to the Company, the chairman of the Board of Directors, a chief executive officer, a president, a chief financial officer, chief operating officer, any executive vice president, any senior vice president, any vice president, the treasurer or any assistant treasurer, the controller or any assistant controller or the secretary or any assistant secretary.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i/>
          <w:caps w:val="false"/>
          <w:smallCaps w:val="false"/>
          <w:sz w:val="20"/>
        </w:rPr>
        <w:t>Officers’ Certificate</w:t>
      </w:r>
      <w:r>
        <w:rPr>
          <w:rFonts w:ascii="Times New Roman;Times;Serif" w:hAnsi="Times New Roman;Times;Serif"/>
          <w:b w:val="false"/>
          <w:i w:val="false"/>
          <w:caps w:val="false"/>
          <w:smallCaps w:val="false"/>
          <w:sz w:val="20"/>
        </w:rPr>
        <w:t>” means a certificate signed by any two Officers. Each such certificate shall include the statements provided for in Section 13.07, if and to the extent required by the provisions thereof.</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i/>
          <w:caps w:val="false"/>
          <w:smallCaps w:val="false"/>
          <w:sz w:val="20"/>
        </w:rPr>
        <w:t>Opinion of Counsel</w:t>
      </w:r>
      <w:r>
        <w:rPr>
          <w:rFonts w:ascii="Times New Roman;Times;Serif" w:hAnsi="Times New Roman;Times;Serif"/>
          <w:b w:val="false"/>
          <w:i w:val="false"/>
          <w:caps w:val="false"/>
          <w:smallCaps w:val="false"/>
          <w:sz w:val="20"/>
        </w:rPr>
        <w:t>” means an opinion in writing subject to customary exceptions of legal counsel, who may be an employee of or counsel for the Company, that is delivered to the Trustee in accordance with the terms hereof. Each such opinion shall include the statements provided for in Section 13.07, if and to the extent required by the provisions thereof.</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i/>
          <w:caps w:val="false"/>
          <w:smallCaps w:val="false"/>
          <w:sz w:val="20"/>
        </w:rPr>
        <w:t>Outstanding</w:t>
      </w:r>
      <w:r>
        <w:rPr>
          <w:rFonts w:ascii="Times New Roman;Times;Serif" w:hAnsi="Times New Roman;Times;Serif"/>
          <w:b w:val="false"/>
          <w:i w:val="false"/>
          <w:caps w:val="false"/>
          <w:smallCaps w:val="false"/>
          <w:sz w:val="20"/>
        </w:rPr>
        <w:t>”, when used with reference to Securities of any series, means, subject to the provisions of Section 8.04, as of any particular time, all Securities of that series theretofore authenticated and delivered by the Trustee under this Indenture, except (a) Securities theretofore canceled by the Trustee or any paying agent, or delivered to the Trustee or any paying agent for cancellation or that have previously been canceled; (b) Securities or portions thereof for the payment or redemption of which moneys or Governmental Obligations in the necessary amount shall have been deposited in trust with the Trustee or with any paying agent (other than the Company) or shall have been set aside and segregated in trust by the Company (if the Company shall act as its own paying agent); provided, however, that if such Securities or portions of such Securities are to be redeemed prior to the maturity thereof, notice of such redemption shall have been given as in Article Three provided, or provision satisfactory to the Trustee shall have been made for giving such notice; and (c) Securities in lieu of or in substitution for which other Securities shall have been authenticated and delivered pursuant to the terms of Section 2.07.</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i/>
          <w:caps w:val="false"/>
          <w:smallCaps w:val="false"/>
          <w:sz w:val="20"/>
        </w:rPr>
        <w:t>Person</w:t>
      </w:r>
      <w:r>
        <w:rPr>
          <w:rFonts w:ascii="Times New Roman;Times;Serif" w:hAnsi="Times New Roman;Times;Serif"/>
          <w:b w:val="false"/>
          <w:i w:val="false"/>
          <w:caps w:val="false"/>
          <w:smallCaps w:val="false"/>
          <w:sz w:val="20"/>
        </w:rPr>
        <w:t>” means any individual, corporation, partnership, joint venture, joint-stock company, limited liability company, association, trust, unincorporated organization, any other entity or organization, including a government or political subdivision or an agency or instrumentality thereof.</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i/>
          <w:caps w:val="false"/>
          <w:smallCaps w:val="false"/>
          <w:sz w:val="20"/>
        </w:rPr>
        <w:t>Predecessor Security</w:t>
      </w:r>
      <w:r>
        <w:rPr>
          <w:rFonts w:ascii="Times New Roman;Times;Serif" w:hAnsi="Times New Roman;Times;Serif"/>
          <w:b w:val="false"/>
          <w:i w:val="false"/>
          <w:caps w:val="false"/>
          <w:smallCaps w:val="false"/>
          <w:sz w:val="20"/>
        </w:rPr>
        <w:t>” of any particular Security means every previous Security evidencing all or a portion of the same debt as that evidenced by such particular Security; and, for the purposes of this definition, any Security authenticated and delivered under Section 2.07 in lieu of a lost, destroyed or stolen Security shall be deemed to evidence the same debt as the lost, destroyed or stolen Security.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i/>
          <w:caps w:val="false"/>
          <w:smallCaps w:val="false"/>
          <w:sz w:val="20"/>
        </w:rPr>
        <w:t>Responsible Officer</w:t>
      </w:r>
      <w:r>
        <w:rPr>
          <w:rFonts w:ascii="Times New Roman;Times;Serif" w:hAnsi="Times New Roman;Times;Serif"/>
          <w:b w:val="false"/>
          <w:i w:val="false"/>
          <w:caps w:val="false"/>
          <w:smallCaps w:val="false"/>
          <w:sz w:val="20"/>
        </w:rPr>
        <w:t>” when used with respect to the Trustee means the chairman of its board of directors, the chief executive officer, the president, any vice president, the secretary, the treasurer, any trust officer, any corporate trust officer or any other officer or assistant officer of the Trustee customarily performing functions similar to those performed by the Persons who at the time shall be such officers, respectively, or to whom any corporate trust matter is referred because of his or her knowledge of and familiarity with the particular subject.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w:t>
      </w:r>
      <w:r>
        <w:rPr>
          <w:rFonts w:ascii="Times New Roman;Times;Serif" w:hAnsi="Times New Roman;Times;Serif"/>
          <w:b/>
          <w:i/>
          <w:caps w:val="false"/>
          <w:smallCaps w:val="false"/>
          <w:sz w:val="20"/>
        </w:rPr>
        <w:t>Securities</w:t>
      </w:r>
      <w:r>
        <w:rPr>
          <w:rFonts w:ascii="Times New Roman;Times;Serif" w:hAnsi="Times New Roman;Times;Serif"/>
          <w:b w:val="false"/>
          <w:i w:val="false"/>
          <w:caps w:val="false"/>
          <w:smallCaps w:val="false"/>
          <w:sz w:val="20"/>
        </w:rPr>
        <w:t>” means the debt Securities authenticated and delivered under this Indenture.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bdr w:val="single" w:sz="12" w:space="1" w:color="000000"/>
        </w:rPr>
      </w:pPr>
      <w:r>
        <w:rPr>
          <w:bdr w:val="single" w:sz="12" w:space="1" w:color="000000"/>
        </w:rPr>
        <w:t>3</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i/>
          <w:caps w:val="false"/>
          <w:smallCaps w:val="false"/>
          <w:sz w:val="20"/>
        </w:rPr>
        <w:t>Securityholder</w:t>
      </w:r>
      <w:r>
        <w:rPr>
          <w:rFonts w:ascii="Times New Roman;Times;Serif" w:hAnsi="Times New Roman;Times;Serif"/>
          <w:b w:val="false"/>
          <w:i w:val="false"/>
          <w:caps w:val="false"/>
          <w:smallCaps w:val="false"/>
          <w:sz w:val="20"/>
        </w:rPr>
        <w:t>”, “holder of Securities”, “registered holder”, or other similar term, means the Person or Persons in whose name or names a particular Security shall be registered on the books of the Company kept for that purpose in accordance with the terms of this Indenture.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i/>
          <w:caps w:val="false"/>
          <w:smallCaps w:val="false"/>
          <w:sz w:val="20"/>
        </w:rPr>
        <w:t>Security Register</w:t>
      </w:r>
      <w:r>
        <w:rPr>
          <w:rFonts w:ascii="Times New Roman;Times;Serif" w:hAnsi="Times New Roman;Times;Serif"/>
          <w:b w:val="false"/>
          <w:i w:val="false"/>
          <w:caps w:val="false"/>
          <w:smallCaps w:val="false"/>
          <w:sz w:val="20"/>
        </w:rPr>
        <w:t>” and “</w:t>
      </w:r>
      <w:r>
        <w:rPr>
          <w:rFonts w:ascii="Times New Roman;Times;Serif" w:hAnsi="Times New Roman;Times;Serif"/>
          <w:b/>
          <w:i/>
          <w:caps w:val="false"/>
          <w:smallCaps w:val="false"/>
          <w:sz w:val="20"/>
        </w:rPr>
        <w:t>Security Registrar</w:t>
      </w:r>
      <w:r>
        <w:rPr>
          <w:rFonts w:ascii="Times New Roman;Times;Serif" w:hAnsi="Times New Roman;Times;Serif"/>
          <w:b w:val="false"/>
          <w:i w:val="false"/>
          <w:caps w:val="false"/>
          <w:smallCaps w:val="false"/>
          <w:sz w:val="20"/>
        </w:rPr>
        <w:t>” shall have the meanings as set forth in Section 2.05.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i/>
          <w:caps w:val="false"/>
          <w:smallCaps w:val="false"/>
          <w:sz w:val="20"/>
        </w:rPr>
        <w:t>Subsidiary</w:t>
      </w:r>
      <w:r>
        <w:rPr>
          <w:rFonts w:ascii="Times New Roman;Times;Serif" w:hAnsi="Times New Roman;Times;Serif"/>
          <w:b w:val="false"/>
          <w:i w:val="false"/>
          <w:caps w:val="false"/>
          <w:smallCaps w:val="false"/>
          <w:sz w:val="20"/>
        </w:rPr>
        <w:t>” means, with respect to any Person, (i) any corporation at least a majority of whose outstanding Voting Shares shall at the time be owned, directly or indirectly, by such Person or by one or more of its Subsidiaries or by such Person and one or more of its Subsidiaries, (ii) any general partnership, joint venture or similar entity, at least a majority of whose outstanding partnership or similar interests shall at the time be owned by such Person, or by one or more of its Subsidiaries, or by such Person and one or more of its Subsidiaries and (iii) any limited partnership of which such Person or any of its Subsidiaries is a general partner.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i/>
          <w:caps w:val="false"/>
          <w:smallCaps w:val="false"/>
          <w:sz w:val="20"/>
        </w:rPr>
        <w:t>Trustee</w:t>
      </w:r>
      <w:r>
        <w:rPr>
          <w:rFonts w:ascii="Times New Roman;Times;Serif" w:hAnsi="Times New Roman;Times;Serif"/>
          <w:b w:val="false"/>
          <w:i w:val="false"/>
          <w:caps w:val="false"/>
          <w:smallCaps w:val="false"/>
          <w:sz w:val="20"/>
        </w:rPr>
        <w:t>” means , and, subject to the provisions of Article Seven, shall also include its successors and assigns, and, if at any time there is more than one Person acting in such capacity hereunder, “Trustee” shall mean each such Person. The term “Trustee” as used with respect to a particular series of the Securities shall mean the trustee with respect to that series.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i/>
          <w:caps w:val="false"/>
          <w:smallCaps w:val="false"/>
          <w:sz w:val="20"/>
        </w:rPr>
        <w:t>Trust Indenture Act</w:t>
      </w:r>
      <w:r>
        <w:rPr>
          <w:rFonts w:ascii="Times New Roman;Times;Serif" w:hAnsi="Times New Roman;Times;Serif"/>
          <w:b w:val="false"/>
          <w:i w:val="false"/>
          <w:caps w:val="false"/>
          <w:smallCaps w:val="false"/>
          <w:sz w:val="20"/>
        </w:rPr>
        <w:t>” means the Trust Indenture Act of 1939, as amended.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i/>
          <w:caps w:val="false"/>
          <w:smallCaps w:val="false"/>
          <w:sz w:val="20"/>
        </w:rPr>
        <w:t>Voting Shares</w:t>
      </w:r>
      <w:r>
        <w:rPr>
          <w:rFonts w:ascii="Times New Roman;Times;Serif" w:hAnsi="Times New Roman;Times;Serif"/>
          <w:b w:val="false"/>
          <w:i w:val="false"/>
          <w:caps w:val="false"/>
          <w:smallCaps w:val="false"/>
          <w:sz w:val="20"/>
        </w:rPr>
        <w:t>”, as applied to shares of any Person, means shares, interests, participations or other equivalents in the equity interest (however designated) in such Person having ordinary voting power for the election of a majority of the directors (or the equivalent) of such Person, other than shares, interests, participations or other equivalents having such power only by reason of the occurrence of a contingency.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114" w:name="a_0032"/>
      <w:bookmarkEnd w:id="114"/>
      <w:r>
        <w:rPr>
          <w:rFonts w:ascii="Times New Roman;Times;Serif" w:hAnsi="Times New Roman;Times;Serif"/>
          <w:b/>
          <w:i w:val="false"/>
          <w:caps w:val="false"/>
          <w:smallCaps w:val="false"/>
          <w:sz w:val="20"/>
        </w:rPr>
        <w:t>ARTICLE 2</w:t>
        <w:br/>
        <w:br/>
        <w:t>ISSUE, DESCRIPTION, TERMS, EXECUTION, REGISTRATION AND</w:t>
        <w:br/>
        <w:t>EXCHANGE OF SECURITIES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bookmarkStart w:id="115" w:name="a_0042"/>
      <w:bookmarkEnd w:id="115"/>
      <w:r>
        <w:rPr>
          <w:rFonts w:ascii="Times New Roman;Times;Serif" w:hAnsi="Times New Roman;Times;Serif"/>
          <w:b/>
          <w:i w:val="false"/>
          <w:caps w:val="false"/>
          <w:smallCaps w:val="false"/>
          <w:sz w:val="20"/>
        </w:rPr>
        <w:t>Section 2.01 Designation and Terms of Securities.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The aggregate principal amount of Securities that may be authenticated and delivered under this Indenture is unlimited. The Securities may be issued in one or more series up to the aggregate principal amount of Securities of that series from time to time authorized by or pursuant to a Board Resolution or pursuant to one or more indentures supplemental hereto. Prior to the initial issuance of Securities of any series, there shall be established in or pursuant to a Board Resolution, and set forth in an Officers’ Certificate, or established in one or more indentures supplemental hereto:</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the title of the Securities of the series (which shall distinguish the Securities of that series from all other Securities);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any limit upon the aggregate principal amount of the Securities of that series that may be authenticated and delivered under this Indenture (except for Securities authenticated and delivered upon registration of transfer of, or in exchange for, or in lieu of, other Securities of that series);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 the date or dates on which the principal of the Securities of the series is payable, any original issue discount that may apply to the Securities of that series upon their issuance, the principal amount due at maturity, and the place(s) of payment;</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firstLine="1440"/>
        <w:jc w:val="center"/>
        <w:rPr>
          <w:bdr w:val="single" w:sz="12" w:space="1" w:color="000000"/>
        </w:rPr>
      </w:pPr>
      <w:r>
        <w:rPr>
          <w:bdr w:val="single" w:sz="12" w:space="1" w:color="000000"/>
        </w:rPr>
        <w:t>4</w:t>
      </w:r>
    </w:p>
    <w:p>
      <w:pPr>
        <w:pStyle w:val="TextBody"/>
        <w:bidi w:val="0"/>
        <w:spacing w:before="0" w:after="0"/>
        <w:ind w:left="0" w:right="0" w:hanging="0"/>
        <w:jc w:val="left"/>
        <w:rPr/>
      </w:pPr>
      <w:r>
        <w:rPr/>
        <w:t> </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 the rate or rates at which the Securities of the series shall bear interest or the manner of calculation of such rate or rates, if any;</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 the date or dates from which such interest shall accrue, the Interest Payment Dates on which such interest will be payable or the manner of determination of such Interest Payment Dates, the place(s) of payment, and the record date for the determination of holders to whom interest is payable on any such Interest Payment Dates or the manner of determination of such record dates;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 the right, if any, to extend the interest payment periods and the duration of such extension;</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 the period or periods within which, the price or prices at which and the terms and conditions upon which Securities of the series may be redeemed, in whole or in part, at the option of the Company;</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 the obligation, if any, of the Company to redeem or purchase Securities of the series pursuant to any sinking fund, mandatory redemption, or analogous provisions (including payments made in cash in satisfaction of future sinking fund obligations) or at the option of a holder thereof and the period or periods within which, the price or prices at which, and the terms and conditions upon which, Securities of the series shall be redeemed or purchased, in whole or in part, pursuant to such obligation;</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 the form of the Securities of the series including the form of the Certificate of Authentication for such series;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 if other than denominations of one thousand U.S. dollars ($1,000) or any integral multiple thereof, the denominations in which the Securities of the series shall be issuable;</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 any and all other terms (including terms, to the extent applicable, relating to any auction or remarketing of the Securities of that series and any security for the obligations of the Company with respect to such Securities) with respect to such series (which terms shall not be inconsistent with the terms of this Indenture, as amended by any supplemental indenture) including any terms which may be required by or advisable under United States laws or regulations or advisable in connection with the marketing of Securities of that series;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 whether the Securities are issuable as a Global Security and, in such case, the terms and the identity of the Depositary for such series;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 whether the Securities will be convertible into or exchangeable for ordinary shares or other securities of the Company or any other Person and, if so, the terms and conditions upon which such Securities will be so convertible or exchangeable, including the conversion or exchange price, as applicable, or how it will be calculated and may be adjusted, any mandatory or optional (at the Company’s option or the holders’ option) conversion or exchange features, and the applicable conversion or exchange period;</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 if other than the principal amount thereof, the portion of the principal amount of Securities of the series which shall be payable upon declaration of acceleration of the maturity thereof pursuant to Section 6.01;</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firstLine="1440"/>
        <w:jc w:val="center"/>
        <w:rPr>
          <w:bdr w:val="single" w:sz="12" w:space="1" w:color="000000"/>
        </w:rPr>
      </w:pPr>
      <w:r>
        <w:rPr>
          <w:bdr w:val="single" w:sz="12" w:space="1" w:color="000000"/>
        </w:rPr>
        <w:t>5</w:t>
      </w:r>
    </w:p>
    <w:p>
      <w:pPr>
        <w:pStyle w:val="TextBody"/>
        <w:bidi w:val="0"/>
        <w:spacing w:before="0" w:after="0"/>
        <w:ind w:left="0" w:right="0" w:hanging="0"/>
        <w:jc w:val="left"/>
        <w:rPr/>
      </w:pPr>
      <w:r>
        <w:rPr/>
        <w:t> </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 any additional or different Events of Default or restrictive covenants (which may include, among other restrictions, restrictions on the Company’s ability or the ability of the Company’s Subsidiaries to: incur additional indebtedness; issue additional securities; create liens; pay dividends or make distributions in respect of their capital shares; redeem capital shares; place restrictions on such Subsidiaries placing restrictions on their ability to pay dividends, make distributions or transfer assets; make investments or other restricted payments; sell or otherwise dispose of assets; enter into sale-leaseback transactions; engage in transactions with shareholders and affiliates; issue or sell shares of their Subsidiaries; or effect a consolidation or merger) or financial covenants (which may include, among other financial covenants, financial covenants that require the Company and its Subsidiaries to maintain specified interest coverage, fixed charge, cash flow-based or asset-based ratios) provided for with respect to the Securities of the series;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 if other than dollars, the coin or currency in which the Securities of the series are denominated (including, but not limited to, foreign currency);</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(17) the terms and conditions, if any, upon which the Company shall pay amounts in addition to the stated interest, premium, if any and principal amounts of the Securities of the series to any Securityholder that is not a “United States person” for federal tax purposes;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 any restrictions on transfer, sale or assignment of the Securities of the series; and</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(19) the subordination terms of the Securities of the series.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Securities of any one series shall be substantially identical except as to denomination and except as may otherwise be provided in or pursuant to any such Board Resolution or in any indentures supplemental hereto.</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any of the terms of the series are established by action taken pursuant to a Board Resolution of the Company, a copy of an appropriate record of such action shall be certified by the secretary or an assistant secretary of the Company and delivered to the Trustee at or prior to the delivery of the Officers’ Certificate of the Company setting forth the terms of the series.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Securities of any particular series may be issued at various times, with different dates on which the principal or any installment of principal is payable, with different rates of interest, if any, or different methods by which rates of interest may be determined, with different dates on which such interest may be payable and with different redemption dates.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bookmarkStart w:id="116" w:name="a_0052"/>
      <w:bookmarkEnd w:id="116"/>
      <w:r>
        <w:rPr>
          <w:rFonts w:ascii="Times New Roman;Times;Serif" w:hAnsi="Times New Roman;Times;Serif"/>
          <w:b/>
          <w:i w:val="false"/>
          <w:caps w:val="false"/>
          <w:smallCaps w:val="false"/>
          <w:sz w:val="20"/>
        </w:rPr>
        <w:t>Section 2.02 Form of Securities and Trustee’s Certificate.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Securities of any series and the Trustee’s certificate of authentication to be borne by such Securities shall be substantially of the tenor and purport as set forth in one or more indentures supplemental hereto or as provided in a Board Resolution, and set forth in an Officers’ Certificate, and they may have such letters, numbers or other marks of identification or designation and such legends or endorsements printed, lithographed or engraved thereon as the Company may deem appropriate and as are not inconsistent with the provisions of this Indenture, or as may be required to comply with any law or with any rule or regulation made pursuant thereto or with any rule or regulation of any securities exchange on which Securities of that series may be listed, or to conform to usage.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bookmarkStart w:id="117" w:name="a_0062"/>
      <w:bookmarkEnd w:id="117"/>
      <w:r>
        <w:rPr>
          <w:rFonts w:ascii="Times New Roman;Times;Serif" w:hAnsi="Times New Roman;Times;Serif"/>
          <w:b/>
          <w:i w:val="false"/>
          <w:caps w:val="false"/>
          <w:smallCaps w:val="false"/>
          <w:sz w:val="20"/>
        </w:rPr>
        <w:t>Section 2.03 Denominations: Provisions for Payment.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Securities shall be issuable as registered Securities and in the denominations of one thousand U.S. dollars ($1,000) or any integral multiple thereof, subject to Section 2.01(a)(10). The Securities of a particular series shall bear interest payable on the dates and at the rate specified with respect to that series. Subject to Section 2.01(a)(16), the principal of and the interest on the Securities of any series, as well as any premium thereon in case of redemption thereof prior to maturity, shall be payable in the coin or currency of the United States of America that at the time is legal tender for public and private debt, at the office or agency of the Company maintained for that purpose in the Borough of Manhattan, the City and State of New York. Each Security shall be dated the date of its authentication. Interest on the Securities shall be computed on the basis of a 360-day year composed of twelve 30-day months.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bdr w:val="single" w:sz="12" w:space="1" w:color="000000"/>
        </w:rPr>
      </w:pPr>
      <w:r>
        <w:rPr>
          <w:bdr w:val="single" w:sz="12" w:space="1" w:color="000000"/>
        </w:rPr>
        <w:t>6</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interest installment on any Security that is payable, and is punctually paid or duly provided for, on any Interest Payment Date for Securities of that series shall be paid to the Person in whose name said Security (or one or more Predecessor Securities) is registered at the close of business on the regular record date for such interest installment. In the event that any Security of a particular series or portion thereof is called for redemption and the redemption date is subsequent to a regular record date with respect to any Interest Payment Date and prior to such Interest Payment Date, interest on such Security will be paid upon presentation and surrender of such Security as provided in Section 3.03.</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interest on any Security that is payable, but is not punctually paid or duly provided for, on any Interest Payment Date for Securities of the same series (herein called “Defaulted Interest”) shall forthwith cease to be payable to the registered holder on the relevant regular record date by virtue of having been such holder; and such Defaulted Interest shall be paid by the Company, at its election, as provided in clause (1) or clause (2) below:</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The Company may make payment of any Defaulted Interest on Securities to the Persons in whose names such Securities (or their respective Predecessor Securities) are registered at the close of business on a special record date for the payment of such Defaulted Interest, which shall be fixed in the following manner: the Company shall notify the Trustee in writing of the amount of Defaulted Interest proposed to be paid on each such Security and the date of the proposed payment, and at the same time the Company shall deposit with the Trustee an amount of money equal to the aggregate amount proposed to be paid in respect of such Defaulted Interest or shall make arrangements satisfactory to the Trustee for such deposit prior to the date of the proposed payment, such money when deposited to be held in trust for the benefit of the Persons entitled to such Defaulted Interest as in this clause provided. Thereupon the Trustee shall fix a special record date for the payment of such Defaulted Interest which shall not be more than 15 nor less than 10 days prior to the date of the proposed payment and not less than 10 days after the receipt by the Trustee of the notice of the proposed payment. The Trustee shall promptly notify the Company of such special record date and, in the name and at the expense of the Company, shall cause notice of the proposed payment of such Defaulted Interest and the special record date therefor to be mailed, first class postage prepaid, to each Securityholder at his or her address as it appears in the Security Register (as hereinafter defined), not less than 10 days prior to such special record date. Notice of the proposed payment of such Defaulted Interest and the special record date therefor having been mailed as aforesaid, such Defaulted Interest shall be paid to the Persons in whose names such Securities (or their respective Predecessor Securities) are registered on such special record date.</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The Company may make payment of any Defaulted Interest on any Securities in any other lawful manner not inconsistent with the requirements of any securities exchange on which such Securities may be listed, and upon such notice as may be required by such exchange, if, after notice given by the Company to the Trustee of the proposed payment pursuant to this clause, such manner of payment shall be deemed practicable by the Trustee.</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Unless otherwise set forth in a Board Resolution or one or more indentures supplemental hereto establishing the terms of any series of Securities pursuant to Section 2.01 hereof, the term “regular record date” as used in this Section with respect to a series of Securities and any Interest Payment Date for such series shall mean either the fifteenth day of the month immediately preceding the month in which an Interest Payment Date established for such series pursuant to Section 2.01 hereof shall occur, if such Interest Payment Date is the first day of a month, or the first day of the month in which an Interest Payment Date established for such series pursuant to Section 2.01 hereof shall occur, if such Interest Payment Date is the fifteenth day of a month, whether or not such date is a Business Day.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bdr w:val="single" w:sz="12" w:space="1" w:color="000000"/>
        </w:rPr>
      </w:pPr>
      <w:r>
        <w:rPr>
          <w:bdr w:val="single" w:sz="12" w:space="1" w:color="000000"/>
        </w:rPr>
        <w:t>7</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Subject to the foregoing provisions of this Section, each Security of a series delivered under this Indenture upon transfer of or in exchange for or in lieu of any other Security of such series shall carry the rights to interest accrued and unpaid, and to accrue, that were carried by such other Security.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118" w:name="a_0072"/>
      <w:bookmarkEnd w:id="118"/>
      <w:r>
        <w:rPr>
          <w:rFonts w:ascii="Times New Roman;Times;Serif" w:hAnsi="Times New Roman;Times;Serif"/>
          <w:b/>
          <w:i w:val="false"/>
          <w:caps w:val="false"/>
          <w:smallCaps w:val="false"/>
          <w:sz w:val="20"/>
        </w:rPr>
        <w:t>Section 2.04 Execution and Authentication.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Securities shall be signed on behalf of the Company by one of its Officers. Signatures may be in the form of a manual or facsimile signature.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may use the facsimile signature of any Person who shall have been an Officer, notwithstanding the fact that at the time the Securities shall be authenticated and delivered or disposed of such Person shall have ceased to be such an officer of the Company. The Securities may contain such notations, legends or endorsements required by law, stock exchange rule or usage. Each Security shall be dated the date of its authentication by the Trustee.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Security shall not be valid until authenticated manually by an authorized signatory of the Trustee, or by an Authenticating Agent. Such signature shall be conclusive evidence that the Security so authenticated has been duly authenticated and delivered hereunder and that the holder is entitled to the benefits of this Indenture. At any time and from time to time after the execution and delivery of this Indenture, the Company may deliver Securities of any series executed by the Company to the Trustee for authentication, together with a written order of the Company for the authentication and delivery of such Securities, signed by an Officer, and the Trustee in accordance with such written order shall authenticate and deliver such Securities.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authenticating such Securities and accepting the additional responsibilities under this Indenture in relation to such Securities, the Trustee shall be entitled to receive, and (subject to Section 7.01) shall be fully protected in relying upon, an Opinion of Counsel stating that the form and terms thereof have been established in conformity with the provisions of this Indenture.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Trustee shall not be required to authenticate such Securities if the issue of such Securities pursuant to this Indenture will affect the Trustee’s own rights, duties or immunities under the Securities and this Indenture or otherwise in a manner that is not reasonably acceptable to the Trustee.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119" w:name="a_0082"/>
      <w:bookmarkEnd w:id="119"/>
      <w:r>
        <w:rPr>
          <w:rFonts w:ascii="Times New Roman;Times;Serif" w:hAnsi="Times New Roman;Times;Serif"/>
          <w:b/>
          <w:i w:val="false"/>
          <w:caps w:val="false"/>
          <w:smallCaps w:val="false"/>
          <w:sz w:val="20"/>
        </w:rPr>
        <w:t>Section 2.05 Registration of Transfer and Exchange.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Securities of any series may be exchanged upon presentation thereof at the office or agency of the Company designated for such purpose in the Borough of Manhattan, the City and State of New York, for other Securities of such series of authorized denominations, and for a like aggregate principal amount, upon payment of a sum sufficient to cover any tax or other governmental charge in relation thereto, all as provided in this Section. In respect of any Securities so surrendered for exchange, the Company shall execute, the Trustee shall authenticate and such office or agency shall deliver in exchange therefor the Security or Securities of the same series that the Securityholder making the exchange shall be entitled to receive, bearing numbers not contemporaneously outstanding.</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The Company shall keep, or cause to be kept, at its office or agency designated for such purpose in the Borough of Manhattan, the City and State of New York, or such other location designated by the Company, a register or registers (herein referred to as the “Security Register”) in which, subject to such reasonable regulations as it may prescribe, the Company shall register the Securities and the transfers of Securities as in this Article provided and which at all reasonable times shall be open for inspection by the Trustee. The registrar for the purpose of registering Securities and transfer of Securities as herein provided shall be appointed as authorized by Board Resolution (the “Security Registrar”).</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center"/>
        <w:rPr>
          <w:bdr w:val="single" w:sz="12" w:space="1" w:color="000000"/>
        </w:rPr>
      </w:pPr>
      <w:r>
        <w:rPr>
          <w:bdr w:val="single" w:sz="12" w:space="1" w:color="000000"/>
        </w:rPr>
        <w:t>8</w:t>
      </w:r>
    </w:p>
    <w:p>
      <w:pPr>
        <w:pStyle w:val="TextBody"/>
        <w:bidi w:val="0"/>
        <w:spacing w:before="0" w:after="0"/>
        <w:ind w:left="0" w:right="0" w:hanging="0"/>
        <w:jc w:val="left"/>
        <w:rPr/>
      </w:pPr>
      <w:r>
        <w:rPr/>
        <w:t> </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Upon surrender for transfer of any Security at the office or agency of the Company designated for such purpose, the Company shall execute, the Trustee shall authenticate and such office or agency shall deliver in the name of the transferee or transferees a new Security or Securities of the same series as the Security presented for a like aggregate principal amount.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Securities presented or surrendered for exchange or registration of transfer, as provided in this Section, shall be accompanied (if so required by the Company or the Security Registrar) by a written instrument or instruments of transfer, in form satisfactory to the Company or the Security Registrar, duly executed by the registered holder or by such holder’s duly authorized attorney in writing.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Except as provided pursuant to Section 2.01 pursuant to a Board Resolution, and set forth in an Officers’ Certificate, or established in one or more indentures supplemental to this Indenture, no service charge shall be made for any exchange or registration of transfer of Securities, or issue of new Securities in case of partial redemption of any series, but the Company may require payment of a sum sufficient to cover any tax or other governmental charge in relation thereto, other than exchanges pursuant to Section 2.06, Section 3.03(b) and Section 9.04 not involving any transfer.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The Company shall not be required (i) to issue, exchange or register the transfer of any Securities during a period beginning at the opening of business 15 days before the day of the mailing of a notice of redemption of less than all the Outstanding Securities of the same series and ending at the close of business on the day of such mailing, nor (ii) to register the transfer of or exchange any Securities of any series or portions thereof called for redemption, other than the unredeemed portion of any such Securities being redeemed in part. The provisions of this Section 2.05 are, with respect to any Global Security, subject to Section 2.11 hereof.</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120" w:name="a_0092"/>
      <w:bookmarkEnd w:id="120"/>
      <w:r>
        <w:rPr>
          <w:rFonts w:ascii="Times New Roman;Times;Serif" w:hAnsi="Times New Roman;Times;Serif"/>
          <w:b/>
          <w:i w:val="false"/>
          <w:caps w:val="false"/>
          <w:smallCaps w:val="false"/>
          <w:sz w:val="20"/>
        </w:rPr>
        <w:t>Section 2.06 Temporary Securities.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Pending the preparation of definitive Securities of any series, the Company may execute, and the Trustee shall authenticate and deliver, temporary Securities (printed, lithographed or typewritten) of any authorized denomination. Such temporary Securities shall be substantially in the form of the definitive Securities in lieu of which they are issued, but with such omissions, insertions and variations as may be appropriate for temporary Securities, all as may be determined by the Company. Every temporary Security of any series shall be executed by the Company and be authenticated by the Trustee upon the same conditions and in substantially the same manner, and with like effect, as the definitive Securities of such series. Without unnecessary delay the Company will execute and will furnish definitive Securities of such series and thereupon any or all temporary Securities of such series may be surrendered in exchange therefor (without charge to the holders), at the office or agency of the Company designated for the purpose in the Borough of Manhattan, the City and State of New York, and the Trustee shall authenticate and such office or agency shall deliver in exchange for such temporary Securities an equal aggregate principal amount of definitive Securities of such series, unless the Company advises the Trustee to the effect that definitive Securities need not be executed and furnished until further notice from the Company. Until so exchanged, the temporary Securities of such series shall be entitled to the same benefits under this Indenture as definitive Securities of such series authenticated and delivered hereunder.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bdr w:val="single" w:sz="12" w:space="1" w:color="000000"/>
        </w:rPr>
      </w:pPr>
      <w:r>
        <w:rPr>
          <w:bdr w:val="single" w:sz="12" w:space="1" w:color="000000"/>
        </w:rPr>
        <w:t>9</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bookmarkStart w:id="121" w:name="a_0102"/>
      <w:bookmarkEnd w:id="121"/>
      <w:r>
        <w:rPr>
          <w:rFonts w:ascii="Times New Roman;Times;Serif" w:hAnsi="Times New Roman;Times;Serif"/>
          <w:b/>
          <w:i w:val="false"/>
          <w:caps w:val="false"/>
          <w:smallCaps w:val="false"/>
          <w:sz w:val="20"/>
        </w:rPr>
        <w:t>Section 2.07 Mutilated, Destroyed, Lost or Stolen Securities.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case any temporary or definitive Security shall become mutilated or be destroyed, lost or stolen, the Company (subject to the next succeeding sentence) shall execute, and upon the Company’s request the Trustee (subject as aforesaid) shall authenticate and deliver, a new Security of the same series, bearing a number not contemporaneously outstanding, in exchange and substitution for the mutilated Security, or in lieu of and in substitution for the Security so destroyed, lost or stolen. In every case the applicant for a substituted Security shall furnish to the Company and the Trustee such security or indemnity as may be required by them to save each of them harmless, and, in every case of destruction, loss or theft, the applicant shall also furnish to the Company and the Trustee evidence to their satisfaction of the destruction, loss or theft of the applicant’s Security and of the ownership thereof. The Trustee may authenticate any such substituted Security and deliver the same upon the written request or authorization of any officer of the Company. Upon the issuance of any substituted Security, the Company may require the payment of a sum sufficient to cover any tax or other governmental charge that may be imposed in relation thereto and any other expenses (including the fees and expenses of the Trustee) connected therewith.</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case any Security that has matured or is about to mature shall become mutilated or be destroyed, lost or stolen, the Company may, instead of issuing a substitute Security, pay or authorize the payment of the same (without surrender thereof except in the case of a mutilated Security) if the applicant for such payment shall furnish to the Company and the Trustee such security or indemnity as they may require to save them harmless, and, in case of destruction, loss or theft, evidence to the satisfaction of the Company and the Trustee of the destruction, loss or theft of such Security and of the ownership thereof.</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Every replacement Security issued pursuant to the provisions of this Section shall constitute an additional contractual obligation of the Company whether or not the mutilated, destroyed, lost or stolen Security shall be found at any time, or be enforceable by anyone, and shall be entitled to all the benefits of this Indenture equally and proportionately with any and all other Securities of the same series duly issued hereunder. All Securities shall be held and owned upon the express condition that the foregoing provisions are exclusive with respect to the replacement or payment of mutilated, destroyed, lost or stolen Securities, and shall preclude (to the extent lawful) any and all other rights or remedies, notwithstanding any law or statute existing or hereafter enacted to the contrary with respect to the replacement or payment of negotiable instruments or other securities without their surrender.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122" w:name="a_0112"/>
      <w:bookmarkEnd w:id="122"/>
      <w:r>
        <w:rPr>
          <w:rFonts w:ascii="Times New Roman;Times;Serif" w:hAnsi="Times New Roman;Times;Serif"/>
          <w:b/>
          <w:i w:val="false"/>
          <w:caps w:val="false"/>
          <w:smallCaps w:val="false"/>
          <w:sz w:val="20"/>
        </w:rPr>
        <w:t>Section 2.08 Cancellation.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Securities surrendered for the purpose of payment, redemption, exchange or registration of transfer shall, if surrendered to the Company or any paying agent, be delivered to the Trustee for cancellation, or, if surrendered to the Trustee, shall be cancelled by it, and no Securities shall be issued in lieu thereof except as expressly required or permitted by any of the provisions of this Indenture. In the absence of such request the Trustee may dispose of canceled Securities in accordance with its standard procedures and deliver a certificate of disposition to the Company. If the Company shall otherwise acquire any of the Securities, however, such acquisition shall not operate as a redemption or satisfaction of the indebtedness represented by such Securities unless and until the same are delivered to the Trustee for cancellation.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123" w:name="a_0122"/>
      <w:bookmarkEnd w:id="123"/>
      <w:r>
        <w:rPr>
          <w:rFonts w:ascii="Times New Roman;Times;Serif" w:hAnsi="Times New Roman;Times;Serif"/>
          <w:b/>
          <w:i w:val="false"/>
          <w:caps w:val="false"/>
          <w:smallCaps w:val="false"/>
          <w:sz w:val="20"/>
        </w:rPr>
        <w:t>Section 2.09 Benefits of Indenture.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Nothing in this Indenture or in the Securities, express or implied, shall give or be construed to give to any Person, other than the parties hereto and the holders of the Securities (and, with respect to the provisions of Article Fourteen, the holders of any indebtedness of the Company to which the Securities of any series are subordinated) any legal or equitable right, remedy or claim under or in respect of this Indenture, or under any covenant, condition or provision herein contained; all such covenants, conditions and provisions being for the sole benefit of the parties hereto and of the holders of the Securities (and, with respect to the provisions of Article Fourteen, the holders of any indebtedness of the Company to which the Securities of any series are subordinated).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bdr w:val="single" w:sz="12" w:space="1" w:color="000000"/>
        </w:rPr>
      </w:pPr>
      <w:r>
        <w:rPr>
          <w:bdr w:val="single" w:sz="12" w:space="1" w:color="000000"/>
        </w:rPr>
        <w:t>10</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bookmarkStart w:id="124" w:name="a_0132"/>
      <w:bookmarkEnd w:id="124"/>
      <w:r>
        <w:rPr>
          <w:rFonts w:ascii="Times New Roman;Times;Serif" w:hAnsi="Times New Roman;Times;Serif"/>
          <w:b/>
          <w:i w:val="false"/>
          <w:caps w:val="false"/>
          <w:smallCaps w:val="false"/>
          <w:sz w:val="20"/>
        </w:rPr>
        <w:t>Section 2.10 Authenticating Agent.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So long as any of the Securities of any series remain Outstanding there may be an Authenticating Agent for any or all such series of Securities which the Trustee shall have the right to appoint. Said Authenticating Agent shall be authorized to act on behalf of the Trustee to authenticate Securities of such series issued upon exchange, transfer or partial redemption thereof, and Securities so authenticated shall be entitled to the benefits of this Indenture and shall be valid and obligatory for all purposes as if authenticated by the Trustee hereunder. All references in this Indenture to the authentication of Securities by the Trustee shall be deemed to include authentication by an Authenticating Agent for such series. Each Authenticating Agent shall be acceptable to the Company and shall be a corporation that has a combined capital and surplus, as most recently reported or determined by it, sufficient under the laws of any jurisdiction under which it is organized or in which it is doing business to conduct a trust business, and that is otherwise authorized under such laws to conduct such business and is subject to supervision or examination by federal or state authorities. If at any time any Authenticating Agent shall cease to be eligible in accordance with these provisions, it shall resign immediately.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Authenticating Agent may at any time resign by giving written notice of resignation to the Trustee and to the Company. The Trustee may at any time (and upon request by the Company shall) terminate the agency of any Authenticating Agent by giving written notice of termination to such Authenticating Agent and to the Company. Upon resignation, termination or cessation of eligibility of any Authenticating Agent, the Trustee may appoint an eligible successor Authenticating Agent acceptable to the Company. Any successor Authenticating Agent, upon acceptance of its appointment hereunder, shall become vested with all the rights, powers and duties of its predecessor hereunder as if originally named as an Authenticating Agent pursuant hereto.</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125" w:name="a_0141"/>
      <w:bookmarkEnd w:id="125"/>
      <w:r>
        <w:rPr>
          <w:rFonts w:ascii="Times New Roman;Times;Serif" w:hAnsi="Times New Roman;Times;Serif"/>
          <w:b/>
          <w:i w:val="false"/>
          <w:caps w:val="false"/>
          <w:smallCaps w:val="false"/>
          <w:sz w:val="20"/>
        </w:rPr>
        <w:t>Section 2.11 Global Securities.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If the Company shall establish pursuant to Section 2.01 that the Securities of a particular series are to be issued as a Global Security, then the Company shall execute and the Trustee shall, in accordance with Section 2.04, authenticate and deliver, a Global Security that (i) shall represent, and shall be denominated in an amount equal to the aggregate principal amount of, all of the Outstanding Securities of such series, (ii) shall be registered in the name of the Depositary or its nominee, (iii) shall be delivered by the Trustee to the Depositary or pursuant to the Depositary’s instruction and (iv) shall bear a legend substantially to the following effect: “Except as otherwise provided in Section 2.11 of the Indenture, this Security may be transferred, in whole but not in part, only to another nominee of the Depositary or to a successor Depositary or to a nominee of such successor Depositary.”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Notwithstanding the provisions of Section 2.05, the Global Security of a series may be transferred, in whole but not in part and in the manner provided in Section 2.05, only to another nominee of the Depositary for such series, or to a successor Depositary for such series selected or approved by the Company or to a nominee of such successor Depositary.</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center"/>
        <w:rPr>
          <w:bdr w:val="single" w:sz="12" w:space="1" w:color="000000"/>
        </w:rPr>
      </w:pPr>
      <w:r>
        <w:rPr>
          <w:bdr w:val="single" w:sz="12" w:space="1" w:color="000000"/>
        </w:rPr>
        <w:t>11</w:t>
      </w:r>
    </w:p>
    <w:p>
      <w:pPr>
        <w:pStyle w:val="TextBody"/>
        <w:bidi w:val="0"/>
        <w:spacing w:before="0" w:after="0"/>
        <w:ind w:left="0" w:right="0" w:hanging="0"/>
        <w:jc w:val="left"/>
        <w:rPr/>
      </w:pPr>
      <w:r>
        <w:rPr/>
        <w:t> </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If at any time the Depositary for a series of the Securities notifies the Company that it is unwilling or unable to continue as Depositary for such series or if at any time the Depositary for such series shall no longer be registered or in good standing under the Exchange Act, or other applicable statute or regulation, and a successor Depositary for such series is not appointed by the Company within 90 days after the Company receives such notice or becomes aware of such condition, as the case may be, or if an Event of Default has occurred and is continuing and the Company has received a request from the Depositary, this Section 2.11 shall no longer be applicable to the Securities of such series and the Company will execute, and subject to Section 2.04, the Trustee will authenticate and deliver the Securities of such series in definitive registered form without coupons, in authorized denominations, and in an aggregate principal amount equal to the principal amount of the Global Security of such series in exchange for such Global Security. In addition, the Company may at any time determine that the Securities of any series shall no longer be represented by a Global Security and that the provisions of this Section 2.11 shall no longer apply to the Securities of such series. In such event the Company will execute and, subject to Section 2.04, the Trustee, upon receipt of an Officers’ Certificate evidencing such determination by the Company, will authenticate and deliver the Securities of such series in definitive registered form without coupons, in authorized denominations, and in an aggregate principal amount equal to the principal amount of the Global Security of such series in exchange for such Global Security. Upon the exchange of the Global Security for such Securities in definitive registered form without coupons, in authorized denominations, the Global Security shall be canceled by the Trustee. Such Securities in definitive registered form issued in exchange for the Global Security pursuant to this Section 2.11(c) shall be registered in such names and in such authorized denominations as the Depositary, pursuant to instructions from its direct or indirect participants or otherwise, shall instruct the Trustee. The Trustee shall deliver such Securities to the Depositary for delivery to the Persons in whose names such Securities are so registered.</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bookmarkStart w:id="126" w:name="a_0151"/>
      <w:bookmarkEnd w:id="126"/>
      <w:r>
        <w:rPr>
          <w:rFonts w:ascii="Times New Roman;Times;Serif" w:hAnsi="Times New Roman;Times;Serif"/>
          <w:b/>
          <w:i w:val="false"/>
          <w:caps w:val="false"/>
          <w:smallCaps w:val="false"/>
          <w:sz w:val="20"/>
        </w:rPr>
        <w:t>ARTICLE 3</w:t>
        <w:br/>
        <w:br/>
        <w:t>REDEMPTION OF SECURITIES AND SINKING FUND PROVISIONS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bookmarkStart w:id="127" w:name="a_0161"/>
      <w:bookmarkEnd w:id="127"/>
      <w:r>
        <w:rPr>
          <w:rFonts w:ascii="Times New Roman;Times;Serif" w:hAnsi="Times New Roman;Times;Serif"/>
          <w:b/>
          <w:i w:val="false"/>
          <w:caps w:val="false"/>
          <w:smallCaps w:val="false"/>
          <w:sz w:val="20"/>
        </w:rPr>
        <w:t>Section 3.01 Redemption.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may redeem the Securities of any series issued hereunder on and after the dates and in accordance with the terms established for such series pursuant to Section 2.01 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bookmarkStart w:id="128" w:name="a_0171"/>
      <w:bookmarkEnd w:id="128"/>
      <w:r>
        <w:rPr>
          <w:rFonts w:ascii="Times New Roman;Times;Serif" w:hAnsi="Times New Roman;Times;Serif"/>
          <w:b/>
          <w:i w:val="false"/>
          <w:caps w:val="false"/>
          <w:smallCaps w:val="false"/>
          <w:sz w:val="20"/>
        </w:rPr>
        <w:t>Section 3.02 Notice of Redemption.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In case the Company shall desire to exercise such right to redeem all or, as the case may be, a portion of the Securities of any series in accordance with any right the Company reserved for itself to do so pursuant to Section 2.01 hereof, the Company shall, or shall cause the Trustee to, give notice of such redemption to holders of the Securities of such series to be redeemed by mailing, first class postage prepaid, a notice of such redemption not less than 30 days and not more than 90 days before the date fixed for redemption of that series to such holders at their last addresses as they shall appear upon the Security Register, unless a shorter period is specified in the Securities to be redeemed. Any notice that is mailed in the manner herein provided shall be conclusively presumed to have been duly given, whether or not the registered holder receives the notice. In any case, failure duly to give such notice to the holder of any Security of any series designated for redemption in whole or in part, or any defect in the notice, shall not affect the validity of the proceedings for the redemption of any other Securities of such series or any other series. In the case of any redemption of Securities prior to the expiration of any restriction on such redemption provided in the terms of such Securities or elsewhere in this Indenture, the Company shall furnish the Trustee with an Officers’ Certificate evidencing compliance with any such restriction.</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such notice of redemption shall specify the date fixed for redemption and the redemption price at which Securities of that series are to be redeemed, and shall state that payment of the redemption price of such Securities to be redeemed will be made at the office or agency of the Company in the Borough of Manhattan, the City and State of New York, upon presentation and surrender of such Securities, that interest accrued to the date fixed for redemption will be paid as specified in said notice, that from and after said date interest will cease to accrue and that the redemption is for a sinking fund, if such is the case. If less than all the Securities of a series are to be redeemed, the notice to the holders of Securities of that series to be redeemed in part shall specify the particular Securities to be so redeemed.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bdr w:val="single" w:sz="12" w:space="1" w:color="000000"/>
        </w:rPr>
      </w:pPr>
      <w:r>
        <w:rPr>
          <w:bdr w:val="single" w:sz="12" w:space="1" w:color="000000"/>
        </w:rPr>
        <w:t>12</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case any Security is to be redeemed in part only, the notice that relates to such Security shall state the portion of the principal amount thereof to be redeemed, and shall state that on and after the redemption date, upon surrender of such Security, a new Security or Securities of such series in principal amount equal to the unredeemed portion thereof will be issued.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If less than all the Securities of a series are to be redeemed, the Company shall give the Trustee at least 45 days’ notice (unless a shorter notice shall be satisfactory to the Trustee) in advance of the date fixed for redemption as to the aggregate principal amount of Securities of the series to be redeemed, and thereupon the Trustee shall select, by lot or in such other manner as it shall deem appropriate and fair in its discretion and that may provide for the selection of a portion or portions (equal to one thousand U.S. dollars ($1,000) or any integral multiple thereof) of the principal amount of such Securities of a denomination larger than $1,000, the Securities to be redeemed and shall thereafter promptly notify the Company in writing of the numbers of the Securities to be redeemed, in whole or in part. The Company may, if and whenever it shall so elect, by delivery of instructions signed on its behalf by an Officer, instruct the Trustee or any paying agent to call all or any part of the Securities of a particular series for redemption and to give notice of redemption in the manner set forth in this Section, such notice to be in the name of the Company or its own name as the Trustee or such paying agent may deem advisable. In any case in which notice of redemption is to be given by the Trustee or any such paying agent, the Company shall deliver or cause to be delivered to, or permit to remain with, the Trustee or such paying agent, as the case may be, such Security Register, transfer books or other records, or suitable copies or extracts therefrom, sufficient to enable the Trustee or such paying agent to give any notice by mail that may be required under the provisions of this Section.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129" w:name="a_0181"/>
      <w:bookmarkEnd w:id="129"/>
      <w:r>
        <w:rPr>
          <w:rFonts w:ascii="Times New Roman;Times;Serif" w:hAnsi="Times New Roman;Times;Serif"/>
          <w:b/>
          <w:i w:val="false"/>
          <w:caps w:val="false"/>
          <w:smallCaps w:val="false"/>
          <w:sz w:val="20"/>
        </w:rPr>
        <w:t>Section 3.03 Payment Upon Redemption.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If the giving of notice of redemption shall have been completed as above provided, the Securities or portions of Securities of the series to be redeemed specified in such notice shall become due and payable on the date and at the place stated in such notice at the applicable redemption price, together with interest accrued to the date fixed for redemption and interest on such Securities or portions of Securities shall cease to accrue on and after the date fixed for redemption, unless the Company shall default in the payment of such redemption price and accrued interest with respect to any such Security or portion thereof. On presentation and surrender of such Securities on or after the date fixed for redemption at the place of payment specified in the notice, said Securities shall be paid and redeemed at the applicable redemption price for such series, together with interest accrued thereon to the date fixed for redemption (but if the date fixed for redemption is an interest payment date, the interest installment payable on such date shall be payable to the registered holder at the close of business on the applicable record date pursuant to Section 2.03).</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Upon presentation of any Security of such series that is to be redeemed in part only, the Company shall execute and the Trustee shall authenticate and the office or agency where the Security is presented shall deliver to the holder thereof, at the expense of the Company, a new Security of the same series of authorized denominations in principal amount equal to the unredeemed portion of the Security so presented.</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jc w:val="center"/>
        <w:rPr>
          <w:bdr w:val="single" w:sz="12" w:space="1" w:color="000000"/>
        </w:rPr>
      </w:pPr>
      <w:r>
        <w:rPr>
          <w:bdr w:val="single" w:sz="12" w:space="1" w:color="000000"/>
        </w:rPr>
        <w:t>13</w:t>
      </w:r>
    </w:p>
    <w:p>
      <w:pPr>
        <w:pStyle w:val="TextBody"/>
        <w:bidi w:val="0"/>
        <w:spacing w:before="0" w:after="0"/>
        <w:ind w:left="0" w:right="0" w:hanging="0"/>
        <w:jc w:val="left"/>
        <w:rPr/>
      </w:pPr>
      <w:r>
        <w:rPr/>
        <w:t> </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bookmarkStart w:id="130" w:name="a_0191"/>
      <w:bookmarkEnd w:id="130"/>
      <w:r>
        <w:rPr>
          <w:rFonts w:ascii="Times New Roman;Times;Serif" w:hAnsi="Times New Roman;Times;Serif"/>
          <w:b/>
          <w:i w:val="false"/>
          <w:caps w:val="false"/>
          <w:smallCaps w:val="false"/>
          <w:sz w:val="20"/>
        </w:rPr>
        <w:t>Section 3.04 Sinking Fund.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provisions of Sections 3.04, 3.05 and 3.06 shall be applicable to any sinking fund for the retirement of Securities of a series, except as otherwise specified as contemplated by Section 2.01 for Securities of such series.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minimum amount of any sinking fund payment provided for by the terms of Securities of any series is herein referred to as a “mandatory sinking fund payment,” and any payment in excess of such minimum amount provided for by the terms of Securities of any series is herein referred to as an “optional sinking fund payment”. If provided for by the terms of Securities of any series, the cash amount of any sinking fund payment may be subject to reduction as provided in Section 3.05. Each sinking fund payment shall be applied to the redemption of Securities of any series as provided for by the terms of Securities of such series.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131" w:name="a_0201"/>
      <w:bookmarkEnd w:id="131"/>
      <w:r>
        <w:rPr>
          <w:rFonts w:ascii="Times New Roman;Times;Serif" w:hAnsi="Times New Roman;Times;Serif"/>
          <w:b/>
          <w:i w:val="false"/>
          <w:caps w:val="false"/>
          <w:smallCaps w:val="false"/>
          <w:sz w:val="20"/>
        </w:rPr>
        <w:t>Section 3.05 Satisfaction of Sinking Fund Payments with Securities.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(i) may deliver Outstanding Securities of a series and (ii) may apply as a credit Securities of a series that have been redeemed either at the election of the Company pursuant to the terms of such Securities or through the application of permitted optional sinking fund payments pursuant to the terms of such Securities, in each case in satisfaction of all or any part of any sinking fund payment with respect to the Securities of such series required to be made pursuant to the terms of such Securities as provided for by the terms of such series, provided that such Securities have not been previously so credited. Such Securities shall be received and credited for such purpose by the Trustee at the redemption price specified in such Securities for redemption through operation of the sinking fund and the amount of such sinking fund payment shall be reduced accordingly.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132" w:name="a_0211"/>
      <w:bookmarkEnd w:id="132"/>
      <w:r>
        <w:rPr>
          <w:rFonts w:ascii="Times New Roman;Times;Serif" w:hAnsi="Times New Roman;Times;Serif"/>
          <w:b/>
          <w:i w:val="false"/>
          <w:caps w:val="false"/>
          <w:smallCaps w:val="false"/>
          <w:sz w:val="20"/>
        </w:rPr>
        <w:t>Section 3.06 Redemption of Securities for Sinking Fund.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 less than 45 days prior to each sinking fund payment date for any series of Securities (unless a shorter period shall be satisfactory to the Trustee), the Company will deliver to the Trustee an Officers’ Certificate specifying the amount of the next ensuing sinking fund payment for that series pursuant to the terms of the series, the portion thereof, if any, that is to be satisfied by delivering and crediting Securities of that series pursuant to Section 3.05 and the basis for such credit and will, together with such Officers’ Certificate, deliver to the Trustee any Securities to be so delivered. Not less than 30 days before each such sinking fund payment date the Trustee shall select the Securities to be redeemed upon such sinking fund payment date in the manner specified in Section 3.02 and cause notice of the redemption thereof to be given in the name of and at the expense of the Company in the manner provided in Section 3.02. Such notice having been duly given, the redemption of such Securities shall be made upon the terms and in the manner stated in Section 3.03.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133" w:name="a_0221"/>
      <w:bookmarkEnd w:id="133"/>
      <w:r>
        <w:rPr>
          <w:rFonts w:ascii="Times New Roman;Times;Serif" w:hAnsi="Times New Roman;Times;Serif"/>
          <w:b/>
          <w:i w:val="false"/>
          <w:caps w:val="false"/>
          <w:smallCaps w:val="false"/>
          <w:sz w:val="20"/>
        </w:rPr>
        <w:t>ARTICLE 4</w:t>
        <w:br/>
        <w:br/>
        <w:t>COVENANTS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bookmarkStart w:id="134" w:name="a_0231"/>
      <w:bookmarkEnd w:id="134"/>
      <w:r>
        <w:rPr>
          <w:rFonts w:ascii="Times New Roman;Times;Serif" w:hAnsi="Times New Roman;Times;Serif"/>
          <w:b/>
          <w:i w:val="false"/>
          <w:caps w:val="false"/>
          <w:smallCaps w:val="false"/>
          <w:sz w:val="20"/>
        </w:rPr>
        <w:t>Section 4.01 Payment of Principal, Premium and Interest.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will duly and punctually pay or cause to be paid the principal of (and premium, if any) and interest on the Securities of that series at the time and place and in the manner provided herein and established with respect to such Securities.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bdr w:val="single" w:sz="12" w:space="1" w:color="000000"/>
        </w:rPr>
      </w:pPr>
      <w:r>
        <w:rPr>
          <w:bdr w:val="single" w:sz="12" w:space="1" w:color="000000"/>
        </w:rPr>
        <w:t>14</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bookmarkStart w:id="135" w:name="a_0241"/>
      <w:bookmarkEnd w:id="135"/>
      <w:r>
        <w:rPr>
          <w:rFonts w:ascii="Times New Roman;Times;Serif" w:hAnsi="Times New Roman;Times;Serif"/>
          <w:b/>
          <w:i w:val="false"/>
          <w:caps w:val="false"/>
          <w:smallCaps w:val="false"/>
          <w:sz w:val="20"/>
        </w:rPr>
        <w:t>Section 4.02 Maintenance of Office or Agency.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So long as any series of the Securities remain Outstanding, the Company agrees to maintain an office or agency in the Borough of Manhattan, the City and State of New York, with respect to each such series and at such other location or locations as may be designated as provided in this Section 4.02, where (i) Securities of that series may be presented for payment, (ii) Securities of that series may be presented as herein above authorized for registration of transfer and exchange, and (iii) notices and demands to or upon the Company in respect of the Securities of that series and this Indenture may be given or served, such designation to continue with respect to such office or agency until the Company shall, by written notice signed by any officer authorized to sign an Officers’ Certificate and delivered to the Trustee, designate some other office or agency for such purposes or any of them. If at any time the Company shall fail to maintain any such required office or agency or shall fail to furnish the Trustee with the address thereof, such presentations, notices and demands may be made or served at the Corporate Trust Office of the Trustee, and the Company hereby appoints the Trustee as its agent to receive all such presentations, notices and demands. The Company initially appoints the Corporate Trust Office of the Trustee located in the Borough of Manhattan, the City of New York as its paying agent with respect to the Securities.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bookmarkStart w:id="136" w:name="a_0251"/>
      <w:bookmarkEnd w:id="136"/>
      <w:r>
        <w:rPr>
          <w:rFonts w:ascii="Times New Roman;Times;Serif" w:hAnsi="Times New Roman;Times;Serif"/>
          <w:b/>
          <w:i w:val="false"/>
          <w:caps w:val="false"/>
          <w:smallCaps w:val="false"/>
          <w:sz w:val="20"/>
        </w:rPr>
        <w:t>Section 4.03 Paying Agents.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If the Company shall appoint one or more paying agents for all or any series of the Securities, other than the Trustee, the Company will cause each such paying agent to execute and deliver to the Trustee an instrument in which such agent shall agree with the Trustee, subject to the provisions of this Section:</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that it will hold all sums held by it as such agent for the payment of the principal of (and premium, if any) or interest on the Securities of that series (whether such sums have been paid to it by the Company or by any other obligor of such Securities) in trust for the benefit of the Persons entitled thereto;</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that it will give the Trustee notice of any failure by the Company (or by any other obligor of such Securities) to make any payment of the principal of (and premium, if any) or interest on the Securities of that series when the same shall be due and payable;</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 that it will, at any time during the continuance of any failure referred to in the preceding paragraph (a)(2) above, upon the written request of the Trustee, forthwith pay to the Trustee all sums so held in trust by such paying agent; and</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 that it will perform all other duties of paying agent as set forth in this Indenture.</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If the Company shall act as its own paying agent with respect to any series of the Securities, it will on or before each due date of the principal of (and premium, if any) or interest on Securities of that series, set aside, segregate and hold in trust for the benefit of the Persons entitled thereto a sum sufficient to pay such principal (and premium, if any) or interest so becoming due on Securities of that series until such sums shall be paid to such Persons or otherwise disposed of as herein provided and will promptly notify the Trustee of such action, or any failure (by it or any other obligor on such Securities) to take such action. Whenever the Company shall have one or more paying agents for any series of Securities, it will, prior to each due date of the principal of (and premium, if any) or interest on any Securities of that series, deposit with the paying agent a sum sufficient to pay the principal (and premium, if any) or interest so becoming due, such sum to be held in trust for the benefit of the Persons entitled to such principal, premium or interest, and (unless such paying agent is the Trustee) the Company will promptly notify the Trustee of this action or failure so to act.</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center"/>
        <w:rPr>
          <w:bdr w:val="single" w:sz="12" w:space="1" w:color="000000"/>
        </w:rPr>
      </w:pPr>
      <w:r>
        <w:rPr>
          <w:bdr w:val="single" w:sz="12" w:space="1" w:color="000000"/>
        </w:rPr>
        <w:t>15</w:t>
      </w:r>
    </w:p>
    <w:p>
      <w:pPr>
        <w:pStyle w:val="TextBody"/>
        <w:bidi w:val="0"/>
        <w:spacing w:before="0" w:after="0"/>
        <w:ind w:left="0" w:right="0" w:hanging="0"/>
        <w:jc w:val="left"/>
        <w:rPr/>
      </w:pPr>
      <w:r>
        <w:rPr/>
        <w:t> </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Notwithstanding anything in this Section to the contrary, (i) the agreement to hold sums in trust as provided in this Section is subject to the provisions of Section 11.05, and (ii) the Company may at any time, for the purpose of obtaining the satisfaction and discharge of this Indenture or for any other purpose, pay, or direct any paying agent to pay, to the Trustee all sums held in trust by the Company or such paying agent, such sums to be held by the Trustee upon the same terms and conditions as those upon which such sums were held by the Company or such paying agent; and, upon such payment by the Company or any paying agent to the Trustee, the Company or such paying agent shall be released from all further liability with respect to such money.</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bookmarkStart w:id="137" w:name="a_0261"/>
      <w:bookmarkEnd w:id="137"/>
      <w:r>
        <w:rPr>
          <w:rFonts w:ascii="Times New Roman;Times;Serif" w:hAnsi="Times New Roman;Times;Serif"/>
          <w:b/>
          <w:i w:val="false"/>
          <w:caps w:val="false"/>
          <w:smallCaps w:val="false"/>
          <w:sz w:val="20"/>
        </w:rPr>
        <w:t>Section 4.04 Appointment to Fill Vacancy in Office of Trustee.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whenever necessary to avoid or fill a vacancy in the office of Trustee, will appoint, in the manner provided in Section 7.10, a Trustee, so that there shall at all times be a Trustee hereunder.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bookmarkStart w:id="138" w:name="a_0271"/>
      <w:bookmarkEnd w:id="138"/>
      <w:r>
        <w:rPr>
          <w:rFonts w:ascii="Times New Roman;Times;Serif" w:hAnsi="Times New Roman;Times;Serif"/>
          <w:b/>
          <w:i w:val="false"/>
          <w:caps w:val="false"/>
          <w:smallCaps w:val="false"/>
          <w:sz w:val="20"/>
        </w:rPr>
        <w:t>Section 4.05 Compliance with Consolidation Provisions.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will not, while any of the Securities remain Outstanding, consolidate with or merge into any other Person, in either case where the Company is not the survivor of such transaction, or sell or convey all or substantially all of its property to any other Person unless the provisions of Article Ten hereof are complied with.</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bookmarkStart w:id="139" w:name="a_0281"/>
      <w:bookmarkEnd w:id="139"/>
      <w:r>
        <w:rPr>
          <w:rFonts w:ascii="Times New Roman;Times;Serif" w:hAnsi="Times New Roman;Times;Serif"/>
          <w:b/>
          <w:i w:val="false"/>
          <w:caps w:val="false"/>
          <w:smallCaps w:val="false"/>
          <w:sz w:val="20"/>
        </w:rPr>
        <w:t>ARTICLE 5</w:t>
        <w:br/>
        <w:br/>
        <w:t>SECURITYHOLDERS’ LISTS AND REPORTS BY</w:t>
        <w:br/>
        <w:t>THE COMPANY AND THE TRUSTEE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bookmarkStart w:id="140" w:name="a_0291"/>
      <w:bookmarkEnd w:id="140"/>
      <w:r>
        <w:rPr>
          <w:rFonts w:ascii="Times New Roman;Times;Serif" w:hAnsi="Times New Roman;Times;Serif"/>
          <w:b/>
          <w:i w:val="false"/>
          <w:caps w:val="false"/>
          <w:smallCaps w:val="false"/>
          <w:sz w:val="20"/>
        </w:rPr>
        <w:t>Section 5.01 Company to Furnish Trustee Names and Addresses of Securityholders.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will furnish or cause to be furnished to the Trustee (a) within 15 days after each regular record date (as defined in Section 2.03) a list, in such form as the Trustee may reasonably require, of the names and addresses of the holders of each series of Securities as of such regular record date, provided that the Company shall not be obligated to furnish or cause to furnish such list at any time that the list shall not differ in any respect from the most recent list furnished to the Trustee by the Company and (b) at such other times as the Trustee may request in writing within 30 days after the receipt by the Company of any such request, a list of similar form and content as of a date not more than 15 days prior to the time such list is furnished; provided, however, that, in either case, no such list need be furnished for any series for which the Trustee shall be the Security Registrar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bookmarkStart w:id="141" w:name="a_0301"/>
      <w:bookmarkEnd w:id="141"/>
      <w:r>
        <w:rPr>
          <w:rFonts w:ascii="Times New Roman;Times;Serif" w:hAnsi="Times New Roman;Times;Serif"/>
          <w:b/>
          <w:i w:val="false"/>
          <w:caps w:val="false"/>
          <w:smallCaps w:val="false"/>
          <w:sz w:val="20"/>
        </w:rPr>
        <w:t>Section 5.02 Preservation Of Information; Communications With Securityholders.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The Trustee shall preserve, in as current a form as is reasonably practicable, all information as to the names and addresses of the holders of Securities contained in the most recent list furnished to it as provided in Section 5.01 and as to the names and addresses of holders of Securities received by the Trustee in its capacity as Security Registrar (if acting in such capacity).</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The Trustee may destroy any list furnished to it as provided in Section 5.01 upon receipt of a new list so furnished.</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Securityholders may communicate as provided in Section 312(b) of the Trust Indenture Act with other Securityholders with respect to their rights under this Indenture or under the Securities, and, in connection with any such communications, the Trustee shall satisfy its obligations under Section 312(b) of the Trust Indenture Act in accordance with the provisions of Section 312(b) of the Trust Indenture Act.</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center"/>
        <w:rPr>
          <w:bdr w:val="single" w:sz="12" w:space="1" w:color="000000"/>
        </w:rPr>
      </w:pPr>
      <w:r>
        <w:rPr>
          <w:bdr w:val="single" w:sz="12" w:space="1" w:color="000000"/>
        </w:rPr>
        <w:t>16</w:t>
      </w:r>
    </w:p>
    <w:p>
      <w:pPr>
        <w:pStyle w:val="TextBody"/>
        <w:bidi w:val="0"/>
        <w:spacing w:before="0" w:after="0"/>
        <w:ind w:left="0" w:right="0" w:hanging="0"/>
        <w:jc w:val="left"/>
        <w:rPr/>
      </w:pPr>
      <w:r>
        <w:rPr/>
        <w:t> </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bookmarkStart w:id="142" w:name="a_0311"/>
      <w:bookmarkEnd w:id="142"/>
      <w:r>
        <w:rPr>
          <w:rFonts w:ascii="Times New Roman;Times;Serif" w:hAnsi="Times New Roman;Times;Serif"/>
          <w:b/>
          <w:i w:val="false"/>
          <w:caps w:val="false"/>
          <w:smallCaps w:val="false"/>
          <w:sz w:val="20"/>
        </w:rPr>
        <w:t>Section 5.03 Reports by 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covenants and agrees to provide a copy to the Trustee, after the Company files the same with the Securities and Exchange Commission, copies of the annual reports and of the information, documents and other reports (or copies of such portions of any of the foregoing as the Securities and Exchange Commission may from time to time by rules and regulations prescribe) that the Company files with the Securities and Exchange Commission pursuant to Section 13 or Section 15(d) of the Exchange Act; provided, however, the Company shall not be required to deliver to the Trustee any materials for which the Company has sought and received confidential treatment by the SEC. The Company shall also comply with the requirements of Section 314 of the Trust Indenture Act, but only to the extent then applicable to the Company.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143" w:name="a_0321"/>
      <w:bookmarkEnd w:id="143"/>
      <w:r>
        <w:rPr>
          <w:rFonts w:ascii="Times New Roman;Times;Serif" w:hAnsi="Times New Roman;Times;Serif"/>
          <w:b/>
          <w:i w:val="false"/>
          <w:caps w:val="false"/>
          <w:smallCaps w:val="false"/>
          <w:sz w:val="20"/>
        </w:rPr>
        <w:t>Section 5.04 Reports by the Trustee.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On or before July 1 in each year in which any of the Securities are Outstanding, the Trustee shall transmit by mail, first class postage prepaid, to the Securityholders, as their names and addresses appear upon the Security Register, a brief report dated as of the preceding May 1, if and to the extent required under Section 313(a) of the Trust Indenture Act.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The Trustee shall comply with Section 313(b) and 313(c) of the Trust Indenture Act.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A copy of each such report shall, at the time of such transmission to Securityholders, be filed by the Trustee with the Company, with each securities exchange upon which any Securities are listed (if so listed) and also with the Securities and Exchange Commission. The Company agrees to notify the Trustee when any Securities become listed on any securities exchange.</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144" w:name="a_0331"/>
      <w:bookmarkEnd w:id="144"/>
      <w:r>
        <w:rPr>
          <w:rFonts w:ascii="Times New Roman;Times;Serif" w:hAnsi="Times New Roman;Times;Serif"/>
          <w:b/>
          <w:i w:val="false"/>
          <w:caps w:val="false"/>
          <w:smallCaps w:val="false"/>
          <w:sz w:val="20"/>
        </w:rPr>
        <w:t>ARTICLE 6</w:t>
        <w:br/>
        <w:br/>
        <w:t>REMEDIES OF THE TRUSTEE AND SECURITYHOLDERS</w:t>
        <w:br/>
        <w:t>ON EVENT OF DEFAULT</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bookmarkStart w:id="145" w:name="a_0341"/>
      <w:bookmarkEnd w:id="145"/>
      <w:r>
        <w:rPr>
          <w:rFonts w:ascii="Times New Roman;Times;Serif" w:hAnsi="Times New Roman;Times;Serif"/>
          <w:b/>
          <w:i w:val="false"/>
          <w:caps w:val="false"/>
          <w:smallCaps w:val="false"/>
          <w:sz w:val="20"/>
        </w:rPr>
        <w:t>Section 6.01 Events of Default.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Whenever used herein with respect to Securities of a particular series, “Event of Default” means any one or more of the following events that has occurred and is continuing:</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the Company defaults in the payment of any installment of interest upon any of the Securities of that series, as and when the same shall become due and payable, and such default continues for a period of 90 days; provided, however, that a valid extension of an interest payment period by the Company in accordance with the terms of any indenture supplemental hereto shall not constitute a default in the payment of interest for this purpose;</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the Company defaults in the payment of the principal of (or premium, if any, on) any of the Securities of that series as and when the same shall become due and payable whether at maturity, upon redemption, by declaration or otherwise, or in any payment required by any sinking or analogous fund established with respect to that series and such default continues for a period of 90 days; provided, however, that a valid extension of the maturity of such Securities in accordance with the terms of any indenture supplemental hereto shall not constitute a default in the payment of principal or premium, if any;</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firstLine="1440"/>
        <w:jc w:val="center"/>
        <w:rPr>
          <w:bdr w:val="single" w:sz="12" w:space="1" w:color="000000"/>
        </w:rPr>
      </w:pPr>
      <w:r>
        <w:rPr>
          <w:bdr w:val="single" w:sz="12" w:space="1" w:color="000000"/>
        </w:rPr>
        <w:t>17</w:t>
      </w:r>
    </w:p>
    <w:p>
      <w:pPr>
        <w:pStyle w:val="TextBody"/>
        <w:bidi w:val="0"/>
        <w:spacing w:before="0" w:after="0"/>
        <w:ind w:left="0" w:right="0" w:hanging="0"/>
        <w:jc w:val="left"/>
        <w:rPr/>
      </w:pPr>
      <w:r>
        <w:rPr/>
        <w:t> </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 the Company fails to observe or perform any other of its covenants or agreements with respect to that series contained in this Indenture or otherwise established with respect to that series of Securities pursuant to Section 2.01 hereof (other than a covenant or agreement that has been expressly included in this Indenture solely for the benefit of one or more series of Securities other than such series) for a period of 90 days after the date on which written notice of such failure, requiring the same to be remedied and stating that such notice is a “Notice of Default” hereunder, shall have been given to the Company by the Trustee, by registered or certified mail, or to the Company and the Trustee by the holders of at least 25% in principal amount of the Securities of that series at the time Outstanding;</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 the Company pursuant to or within the meaning of any Bankruptcy Law (i) commences a voluntary case, (ii) consents to the entry of an order for relief against it in an involuntary case, (iii) consents to the appointment of a Custodian of it or for all or substantially all of its property or (iv) makes a general assignment for the benefit of its creditors; or</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 a court of competent jurisdiction enters an order under any Bankruptcy Law that (i) is for relief against the Company in an involuntary case, (ii) appoints a Custodian of the Company for all or substantially all of its property or (iii) orders the liquidation of the Company, and the order or decree remains unstayed and in effect for 90 days.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In each and every such case (other than an Event of Default specified in clause (4) or clause (5) above), unless the principal of all the Securities of that series shall have already become due and payable, either the Trustee or the holders of not less than 25% in aggregate principal amount of the Securities of that series then Outstanding hereunder, by notice in writing to the Company (and to the Trustee if given by such Securityholders), may declare the principal of (and premium, if any, on) and accrued and unpaid interest on all the Securities of that series to be due and payable immediately, and upon any such declaration the same shall become and shall be immediately due and payable. If an Event of Default specified in clause (4) or clause (5) above occurs, the principal of and accrued and unpaid interest on all the Securities of that series shall automatically be immediately due and payable without any declaration or other act on the part of the Trustee or the holders of the Securities.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At any time after the principal of (and premium, if any, on) and accrued and unpaid interest on the Securities of that series shall have been so declared due and payable, and before any judgment or decree for the payment of the moneys due shall have been obtained or entered as hereinafter provided, the holders of a majority in aggregate principal amount of the Securities of that series then Outstanding hereunder, by written notice to the Company and the Trustee, may rescind and annul such declaration and its consequences if: (i) the Company has paid or deposited with the Trustee a sum sufficient to pay all matured installments of interest upon all the Securities of that series and the principal of (and premium, if any, on) any and all Securities of that series that shall have become due otherwise than by acceleration (with interest upon such principal and premium, if any, and, to the extent that such payment is enforceable under applicable law, upon overdue installments of interest, at the rate per annum expressed in the Securities of that series to the date of such payment or deposit) and the amount payable to the Trustee under Section 7.06, and (ii) any and all Events of Default under the Indenture with respect to such series, other than the nonpayment of principal on (and premium, if any, on) and accrued and unpaid interest on Securities of that series that shall not have become due by their terms, shall have been remedied or waived as provided in Section 6.06.</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such rescission and annulment shall extend to or shall affect any subsequent default or impair any right consequent thereon.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In case the Trustee shall have proceeded to enforce any right with respect to Securities of that series under this Indenture and such proceedings shall have been discontinued or abandoned because of such rescission or annulment or for any other reason or shall have been determined adversely to the Trustee, then and in every such case, subject to any determination in such proceedings, the Company and the Trustee shall be restored respectively to their former positions and rights hereunder, and all rights, remedies and powers of the Company and the Trustee shall continue as though no such proceedings had been taken.</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center"/>
        <w:rPr>
          <w:bdr w:val="single" w:sz="12" w:space="1" w:color="000000"/>
        </w:rPr>
      </w:pPr>
      <w:r>
        <w:rPr>
          <w:bdr w:val="single" w:sz="12" w:space="1" w:color="000000"/>
        </w:rPr>
        <w:t>18</w:t>
      </w:r>
    </w:p>
    <w:p>
      <w:pPr>
        <w:pStyle w:val="TextBody"/>
        <w:bidi w:val="0"/>
        <w:spacing w:before="0" w:after="0"/>
        <w:ind w:left="0" w:right="0" w:hanging="0"/>
        <w:jc w:val="left"/>
        <w:rPr/>
      </w:pPr>
      <w:r>
        <w:rPr/>
        <w:t> </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bookmarkStart w:id="146" w:name="a_0351"/>
      <w:bookmarkEnd w:id="146"/>
      <w:r>
        <w:rPr>
          <w:rFonts w:ascii="Times New Roman;Times;Serif" w:hAnsi="Times New Roman;Times;Serif"/>
          <w:b/>
          <w:i w:val="false"/>
          <w:caps w:val="false"/>
          <w:smallCaps w:val="false"/>
          <w:sz w:val="20"/>
        </w:rPr>
        <w:t>Section 6.02 Collection of Indebtedness and Suits for Enforcement by Trustee.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The Company covenants that (i) in case it shall default in the payment of any installment of interest on any of the Securities of a series, or in any payment required by any sinking or analogous fund established with respect to that series as and when the same shall have become due and payable, and such default shall have continued for a period of 90 Business Days, or (ii) in case it shall default in the payment of the principal of (or premium, if any, on) any of the Securities of a series when the same shall have become due and payable, whether upon maturity of the Securities of a series or upon redemption or upon declaration or otherwise then, upon demand of the Trustee, the Company will pay to the Trustee, for the benefit of the holders of the Securities of that series, the whole amount that then shall have been become due and payable on all such Securities for principal (and premium, if any) or interest, or both, as the case may be, with interest upon the overdue principal (and premium, if any) and (to the extent that payment of such interest is enforceable under applicable law) upon overdue installments of interest at the rate per annum expressed in the Securities of that series; and, in addition thereto, such further amount as shall be sufficient to cover the costs and expenses of collection, and the amount payable to the Trustee under Section 7.06.</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If the Company shall fail to pay such amounts forthwith upon such demand, the Trustee, in its own name and as trustee of an express trust, shall be entitled and empowered to institute any action or proceedings at law or in equity for the collection of the sums so due and unpaid, and may prosecute any such action or proceeding to judgment or final decree, and may enforce any such judgment or final decree against the Company or other obligor upon the Securities of that series and collect the moneys adjudged or decreed to be payable in the manner provided by law or equity out of the property of the Company or other obligor upon the Securities of that series, wherever situated.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In case of any receivership, insolvency, liquidation, bankruptcy, reorganization, readjustment, arrangement, composition or judicial proceedings affecting the Company, or its creditors or property, the Trustee shall have power to intervene in such proceedings and take any action therein that may be permitted by the court and shall (except as may be otherwise provided by law) be entitled to file such proofs of claim and other papers and documents as may be necessary or advisable in order to have the claims of the Trustee and of the holders of Securities of such series allowed for the entire amount due and payable by the Company under the Indenture at the date of institution of such proceedings and for any additional amount that may become due and payable by the Company after such date, and to collect and receive any moneys or other property payable or deliverable on any such claim, and to distribute the same after the deduction of the amount payable to the Trustee under Section 7.06; and any receiver, assignee or trustee in bankruptcy or reorganization is hereby authorized by each of the holders of Securities of such series to make such payments to the Trustee, and, in the event that the Trustee shall consent to the making of such payments directly to such Securityholders, to pay to the Trustee any amount due it under Section 7.06.</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All rights of action and of asserting claims under this Indenture, or under any of the terms established with respect to Securities of that series, may be enforced by the Trustee without the possession of any of such Securities, or the production thereof at any trial or other proceeding relative thereto, and any such suit or proceeding instituted by the Trustee shall be brought in its own name as trustee of an express trust, and any recovery of judgment shall, after provision for payment to the Trustee of any amounts due under Section 7.06, be for the ratable benefit of the holders of the Securities of such series.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center"/>
        <w:rPr>
          <w:bdr w:val="single" w:sz="12" w:space="1" w:color="000000"/>
        </w:rPr>
      </w:pPr>
      <w:r>
        <w:rPr>
          <w:bdr w:val="single" w:sz="12" w:space="1" w:color="000000"/>
        </w:rPr>
        <w:t>19</w:t>
      </w:r>
    </w:p>
    <w:p>
      <w:pPr>
        <w:pStyle w:val="TextBody"/>
        <w:bidi w:val="0"/>
        <w:spacing w:before="0" w:after="0"/>
        <w:ind w:left="0" w:right="0" w:hanging="0"/>
        <w:jc w:val="left"/>
        <w:rPr/>
      </w:pPr>
      <w:r>
        <w:rPr/>
        <w:t> </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case of an Event of Default hereunder, the Trustee may in its discretion proceed to protect and enforce the rights vested in it by this Indenture by such appropriate judicial proceedings as the Trustee shall deem most effectual to protect and enforce any of such rights, either at law or in equity or in bankruptcy or otherwise, whether for the specific enforcement of any covenant or agreement contained in the Indenture or in aid of the exercise of any power granted in this Indenture, or to enforce any other legal or equitable right vested in the Trustee by this Indenture or by law.</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Nothing contained herein shall be deemed to authorize the Trustee to authorize or consent to or accept or adopt on behalf of any Securityholder any plan of reorganization, arrangement, adjustment or composition affecting the Securities of that series or the rights of any holder thereof or to authorize the Trustee to vote in respect of the claim of any Securityholder in any such proceeding.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147" w:name="a_0361"/>
      <w:bookmarkEnd w:id="147"/>
      <w:r>
        <w:rPr>
          <w:rFonts w:ascii="Times New Roman;Times;Serif" w:hAnsi="Times New Roman;Times;Serif"/>
          <w:b/>
          <w:i w:val="false"/>
          <w:caps w:val="false"/>
          <w:smallCaps w:val="false"/>
          <w:sz w:val="20"/>
        </w:rPr>
        <w:t>Section 6.03 Application of Moneys or Property Collected.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moneys or property collected by the Trustee pursuant to this Article with respect to a particular series of Securities shall be applied in the following order, at the date or dates fixed by the Trustee and, in case of the distribution of such moneys or property on account of principal (or premium, if any) or interest, upon presentation of the Securities of that series, and notation thereon of the payment, if only partially paid, and upon surrender thereof if fully paid: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FIRST: To the payment of reasonable costs and expenses of collection and of all amounts payable to the Trustee under Section 7.06;</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SECOND: To the payment of all indebtedness of the Company to which such series of Securities is subordinated to the extent required by Section 7.06 and Article Fourteen;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THIRD: To the payment of the amounts then due and unpaid upon Securities of such series for principal (and premium, if any) and interest, in respect of which or for the benefit of which such money has been collected, ratably, without preference or priority of any kind, according to the amounts due and payable on such Securities for principal (and premium, if any) and interest, respectively; and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FOURTH: To the payment of the remainder, if any, to the Company or any other Person lawfully entitled thereto, as requested by the Company.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148" w:name="a_0371"/>
      <w:bookmarkEnd w:id="148"/>
      <w:r>
        <w:rPr>
          <w:rFonts w:ascii="Times New Roman;Times;Serif" w:hAnsi="Times New Roman;Times;Serif"/>
          <w:b/>
          <w:i w:val="false"/>
          <w:caps w:val="false"/>
          <w:smallCaps w:val="false"/>
          <w:sz w:val="20"/>
        </w:rPr>
        <w:t>Section 6.04 Limitation on Suits.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holder of any Security of any series shall have any right by virtue or by availing of any provision of this Indenture to institute any suit, action or proceeding in equity or at law upon or under or with respect to this Indenture or for the appointment of a receiver or trustee, or for any other remedy hereunder, unless (i) such holder previously shall have given to the Trustee written notice of an Event of Default and of the continuance thereof with respect to the Securities of such series specifying such Event of Default, as hereinbefore provided; (ii) the holders of not less than 25% in aggregate principal amount of the Securities of such series then Outstanding shall have made written request upon the Trustee to institute such action, suit or proceeding in its own name as Trustee hereunder; (iii) such holder or holders shall have offered to the Trustee such reasonable indemnity as it may require against the costs, expenses and liabilities to be incurred therein or thereby; (iv) the Trustee for 90 days after its receipt of such notice, request and offer of indemnity, shall have failed to institute any such action, suit or proceeding and (v) during such 90 day period, the holders of a majority in principal amount of the Securities of that series do not give the Trustee a direction inconsistent with the request.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bdr w:val="single" w:sz="12" w:space="1" w:color="000000"/>
        </w:rPr>
      </w:pPr>
      <w:r>
        <w:rPr>
          <w:bdr w:val="single" w:sz="12" w:space="1" w:color="000000"/>
        </w:rPr>
        <w:t>20</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Notwithstanding anything contained herein to the contrary or any other provisions of this Indenture, the right of any holder of any Security to receive payment of the principal of (and premium, if any) and interest on such Security, as therein provided, on or after the respective due dates expressed in such Security (or in the case of redemption, on the redemption date), or to institute suit for the enforcement of any such payment on or after such respective dates or redemption date, shall not be impaired or affected without the consent of such holder and by accepting a Security hereunder it is expressly understood, intended and covenanted by the taker and holder of every Security of such series with every other such taker and holder and the Trustee, that no one or more holders of Securities of such series shall have any right in any manner whatsoever by virtue or by availing of any provision of this Indenture to affect, disturb or prejudice the rights of the holders of any other of such Securities, or to obtain or seek to obtain priority over or preference to any other such holder, or to enforce any right under this Indenture, except in the manner herein provided and for the equal, ratable and common benefit of all holders of Securities of such series. For the protection and enforcement of the provisions of this Section, each and every Securityholder and the Trustee shall be entitled to such relief as can be given either at law or in equity.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149" w:name="a_0381"/>
      <w:bookmarkEnd w:id="149"/>
      <w:r>
        <w:rPr>
          <w:rFonts w:ascii="Times New Roman;Times;Serif" w:hAnsi="Times New Roman;Times;Serif"/>
          <w:b/>
          <w:i w:val="false"/>
          <w:caps w:val="false"/>
          <w:smallCaps w:val="false"/>
          <w:sz w:val="20"/>
        </w:rPr>
        <w:t>Section 6.05 Rights and Remedies Cumulative; Delay or Omission Not Waiver.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Except as otherwise provided in Section 2.07, all powers and remedies given by this Article to the Trustee or to the Securityholders shall, to the extent permitted by law, be deemed cumulative and not exclusive of any other powers and remedies available to the Trustee or the holders of the Securities, by judicial proceedings or otherwise, to enforce the performance or observance of the covenants and agreements contained in this Indenture or otherwise established with respect to such Securities.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No delay or omission of the Trustee or of any holder of any of the Securities to exercise any right or power accruing upon any Event of Default occurring and continuing as aforesaid shall impair any such right or power, or shall be construed to be a waiver of any such default or an acquiescence therein; and, subject to the provisions of Section 6.04, every power and remedy given by this Article or by law to the Trustee or the Securityholders may be exercised from time to time, and as often as shall be deemed expedient, by the Trustee or by the Securityholders.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150" w:name="a_0391"/>
      <w:bookmarkEnd w:id="150"/>
      <w:r>
        <w:rPr>
          <w:rFonts w:ascii="Times New Roman;Times;Serif" w:hAnsi="Times New Roman;Times;Serif"/>
          <w:b/>
          <w:i w:val="false"/>
          <w:caps w:val="false"/>
          <w:smallCaps w:val="false"/>
          <w:sz w:val="20"/>
        </w:rPr>
        <w:t>Section 6.06 Control by Securityholders.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holders of a majority in aggregate principal amount of the Securities of any series at the time Outstanding, determined in accordance with Section 8.04, shall have the right to direct the time, method and place of conducting any proceeding for any remedy available to the Trustee, or exercising any trust or power conferred on the Trustee with respect to such series; provided, however, that such direction shall not be in conflict with any rule of law or with this Indenture. Subject to the provisions of Section 7.01, the Trustee shall have the right to decline to follow any such direction if the Trustee in good faith shall, by a Responsible Officer or officers of the Trustee, determine that the proceeding so directed, subject to the Trustee’s duties under the Trust Indenture Act, would involve the Trustee in personal liability or might be unduly prejudicial to the Securityholders not involved in the proceeding. The holders of a majority in aggregate principal amount of the Securities of any series at the time Outstanding affected thereby, determined in accordance with Section 8.04, may on behalf of the holders of all of the Securities of such series waive any past default in the performance of any of the covenants contained herein or established pursuant to Section 2.01 with respect to such series and its consequences, except a default in the payment of the principal of, or premium, if any, or interest on, any of the Securities of that series as and when the same shall become due by the terms of such Securities otherwise than by acceleration (unless such default has been cured and a sum sufficient to pay all matured installments of interest and principal and any premium has been deposited with the Trustee (in accordance with Section 6.01(c)). Upon any such waiver, the default covered thereby shall be deemed to be cured for all purposes of this Indenture and the Company, the Trustee and the holders of the Securities of such series shall be restored to their former positions and rights hereunder, respectively; but no such waiver shall extend to any subsequent or other default or impair any right consequent thereon.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bdr w:val="single" w:sz="12" w:space="1" w:color="000000"/>
        </w:rPr>
      </w:pPr>
      <w:r>
        <w:rPr>
          <w:bdr w:val="single" w:sz="12" w:space="1" w:color="000000"/>
        </w:rPr>
        <w:t>21</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bookmarkStart w:id="151" w:name="a_0401"/>
      <w:bookmarkEnd w:id="151"/>
      <w:r>
        <w:rPr>
          <w:rFonts w:ascii="Times New Roman;Times;Serif" w:hAnsi="Times New Roman;Times;Serif"/>
          <w:b/>
          <w:i w:val="false"/>
          <w:caps w:val="false"/>
          <w:smallCaps w:val="false"/>
          <w:sz w:val="20"/>
        </w:rPr>
        <w:t>Section 6.07 Undertaking to Pay Costs.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parties to this Indenture agree, and each holder of any Securities by such holder’s acceptance thereof shall be deemed to have agreed, that any court may in its discretion require, in any suit for the enforcement of any right or remedy under this Indenture, or in any suit against the Trustee for any action taken or omitted by it as Trustee, the filing by any party litigant in such suit of an undertaking to pay the costs of such suit, and that such court may in its discretion assess reasonable costs, including reasonable attorneys’ fees, against any party litigant in such suit, having due regard to the merits and good faith of the claims or defenses made by such party litigant; but the provisions of this Section shall not apply to any suit instituted by the Trustee, to any suit instituted by any Securityholder, or group of Securityholders, holding more than 10% in aggregate principal amount of the Outstanding Securities of any series, or to any suit instituted by any Securityholder for the enforcement of the payment of the principal of (or premium, if any) or interest on any Security of such series, on or after the respective due dates expressed in such Security or established pursuant to this Indenture.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bookmarkStart w:id="152" w:name="a_0411"/>
      <w:bookmarkEnd w:id="152"/>
      <w:r>
        <w:rPr>
          <w:rFonts w:ascii="Times New Roman;Times;Serif" w:hAnsi="Times New Roman;Times;Serif"/>
          <w:b/>
          <w:i w:val="false"/>
          <w:caps w:val="false"/>
          <w:smallCaps w:val="false"/>
          <w:sz w:val="20"/>
        </w:rPr>
        <w:t>ARTICLE 7</w:t>
        <w:br/>
        <w:br/>
        <w:t>CONCERNING THE TRUSTEE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bookmarkStart w:id="153" w:name="a_0421"/>
      <w:bookmarkEnd w:id="153"/>
      <w:r>
        <w:rPr>
          <w:rFonts w:ascii="Times New Roman;Times;Serif" w:hAnsi="Times New Roman;Times;Serif"/>
          <w:b/>
          <w:i w:val="false"/>
          <w:caps w:val="false"/>
          <w:smallCaps w:val="false"/>
          <w:sz w:val="20"/>
        </w:rPr>
        <w:t>Section 7.01 Certain Duties and Responsibilities of Trustee.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The Trustee, prior to the occurrence of an Event of Default with respect to the Securities of a series and after the curing of all Events of Default with respect to the Securities of that series that may have occurred, shall undertake to perform with respect to the Securities of such series such duties and only such duties as are specifically set forth in this Indenture, and no implied covenants shall be read into this Indenture against the Trustee. In case an Event of Default with respect to the Securities of a series has occurred (that has not been cured or waived), the Trustee shall exercise with respect to Securities of that series such of the rights and powers vested in it by this Indenture, and use the same degree of care and skill in their exercise, as a prudent man would exercise or use under the circumstances in the conduct of his own affairs.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No provision of this Indenture shall be construed to relieve the Trustee from liability for its own negligent action, its own negligent failure to act, or its own willful misconduct, except that:</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prior to the occurrence of an Event of Default with respect to the Securities of a series and after the curing or waiving of all such Events of Default with respect to that series that may have occurred:</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the duties and obligations of the Trustee shall with respect to the Securities of such series be determined solely by the express provisions of this Indenture, and the Trustee shall not be liable with respect to the Securities of such series except for the performance of such duties and obligations as are specifically set forth in this Indenture, and no implied covenants or obligations shall be read into this Indenture against the Trustee; and</w:t>
      </w:r>
    </w:p>
    <w:p>
      <w:pPr>
        <w:pStyle w:val="TextBody"/>
        <w:bidi w:val="0"/>
        <w:spacing w:before="0" w:after="0"/>
        <w:ind w:left="0" w:right="0" w:firstLine="2160"/>
        <w:jc w:val="left"/>
        <w:rPr>
          <w:caps w:val="false"/>
          <w:smallCaps w:val="false"/>
        </w:rPr>
      </w:pPr>
      <w:r>
        <w:rPr>
          <w:caps w:val="false"/>
          <w:smallCaps w:val="false"/>
        </w:rPr>
        <w:t> </w:t>
      </w:r>
    </w:p>
    <w:p>
      <w:pPr>
        <w:pStyle w:val="TextBody"/>
        <w:bidi w:val="0"/>
        <w:spacing w:before="0" w:after="0"/>
        <w:ind w:left="0" w:right="0" w:firstLine="2160"/>
        <w:jc w:val="center"/>
        <w:rPr>
          <w:bdr w:val="single" w:sz="12" w:space="1" w:color="000000"/>
        </w:rPr>
      </w:pPr>
      <w:r>
        <w:rPr>
          <w:bdr w:val="single" w:sz="12" w:space="1" w:color="000000"/>
        </w:rPr>
        <w:t>22</w:t>
      </w:r>
    </w:p>
    <w:p>
      <w:pPr>
        <w:pStyle w:val="TextBody"/>
        <w:bidi w:val="0"/>
        <w:spacing w:before="0" w:after="0"/>
        <w:ind w:left="0" w:right="0" w:hanging="0"/>
        <w:jc w:val="left"/>
        <w:rPr/>
      </w:pPr>
      <w:r>
        <w:rPr/>
        <w:t> </w:t>
      </w:r>
    </w:p>
    <w:p>
      <w:pPr>
        <w:pStyle w:val="TextBody"/>
        <w:bidi w:val="0"/>
        <w:spacing w:before="0" w:after="0"/>
        <w:ind w:left="0" w:right="0" w:firstLine="216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in the absence of bad faith on the part of the Trustee, the Trustee may with respect to the Securities of such series conclusively rely, as to the truth of the statements and the correctness of the opinions expressed therein, upon any certificates or opinions furnished to the Trustee and conforming to the requirements of this Indenture; but in the case of any such certificates or opinions that by any provision hereof are specifically required to be furnished to the Trustee, the Trustee shall be under a duty to examine the same to determine whether or not they conform to the requirement of this Indenture;</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the Trustee shall not be liable for any error of judgment made in good faith by a Responsible Officer or Responsible Officers of the Trustee, unless it shall be proved that the Trustee was negligent in ascertaining the pertinent facts;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the Trustee shall not be liable with respect to any action taken or omitted to be taken by it in good faith in accordance with the direction of the holders of not less than a majority in principal amount of the Securities of any series at the time Outstanding relating to the time, method and place of conducting any proceeding for any remedy available to the Trustee, or exercising any trust or power conferred upon the Trustee under this Indenture with respect to the Securities of that series; and</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(iv) None of the provisions contained in this Indenture shall require the Trustee to expend or risk its own funds or otherwise incur personal financial liability in the performance of any of its duties or in the exercise of any of its rights or powers if there is reasonable ground for believing that the repayment of such funds or liability is not reasonably assured to it under the terms of this Indenture or adequate indemnity against such risk is not reasonably assured to it.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154" w:name="a_0431"/>
      <w:bookmarkEnd w:id="154"/>
      <w:r>
        <w:rPr>
          <w:rFonts w:ascii="Times New Roman;Times;Serif" w:hAnsi="Times New Roman;Times;Serif"/>
          <w:b/>
          <w:i w:val="false"/>
          <w:caps w:val="false"/>
          <w:smallCaps w:val="false"/>
          <w:sz w:val="20"/>
        </w:rPr>
        <w:t>Section 7.02 Certain Rights of Trustee.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Except as otherwise provided in Section 7.01:</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The Trustee may rely conclusively and shall be protected in acting or refraining from acting upon any resolution, certificate, statement, instrument, opinion, report, notice, request, consent, order, approval, bond, security or other paper or document believed by it to be genuine and to have been signed or presented by the proper party or parties;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Any request, direction, order or demand of the Company mentioned herein shall be sufficiently evidenced by a Board Resolution or an instrument signed in the name of the Company by any authorized officer of the Company (unless other evidence in respect thereof is specifically prescribed herein);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The Trustee may consult with counsel and the written advice of such counsel or any Opinion of Counsel shall be full and complete authorization and protection in respect of any action taken or suffered or omitted hereunder in good faith and in reliance thereon;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The Trustee shall be under no obligation to exercise any of the rights or powers vested in it by this Indenture at the request, order or direction of any of the Securityholders pursuant to the provisions of this Indenture, unless such Securityholders shall have offered to the Trustee reasonable security or indemnity against the costs, expenses and liabilities that may be incurred therein or thereby; nothing contained herein shall, however, relieve the Trustee of the obligation, upon the occurrence of an Event of Default with respect to a series of the Securities (that has not been cured or waived), to exercise with respect to Securities of that series such of the rights and powers vested in it by this Indenture, and to use the same degree of care and skill in their exercise, as a prudent man would exercise or use under the circumstances in the conduct of his own affairs;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The Trustee shall not be liable for any action taken or omitted to be taken by it in good faith and believed by it to be authorized or within the discretion or rights or powers conferred upon it by this Indenture;</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center"/>
        <w:rPr>
          <w:bdr w:val="single" w:sz="12" w:space="1" w:color="000000"/>
        </w:rPr>
      </w:pPr>
      <w:r>
        <w:rPr>
          <w:bdr w:val="single" w:sz="12" w:space="1" w:color="000000"/>
        </w:rPr>
        <w:t>23</w:t>
      </w:r>
    </w:p>
    <w:p>
      <w:pPr>
        <w:pStyle w:val="TextBody"/>
        <w:bidi w:val="0"/>
        <w:spacing w:before="0" w:after="0"/>
        <w:ind w:left="0" w:right="0" w:hanging="0"/>
        <w:jc w:val="left"/>
        <w:rPr/>
      </w:pPr>
      <w:r>
        <w:rPr/>
        <w:t> </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The Trustee shall not be bound to make any investigation into the facts or matters stated in any resolution, certificate, statement, instrument, opinion, report, notice, request, consent, order, approval, bond, security, or other papers or documents, unless requested in writing so to do by the holders of not less than a majority in principal amount of the Outstanding Securities of the particular series affected thereby (determined as provided in Section 8.04); provided, however, that if the payment within a reasonable time to the Trustee of the costs, expenses or liabilities likely to be incurred by it in the making of such investigation is, in the opinion of the Trustee, not reasonably assured to the Trustee by the security afforded to it by the terms of this Indenture, the Trustee may require reasonable indemnity against such costs, expenses or liabilities as a condition to so proceeding. The reasonable expense of every such examination shall be paid by the Company or, if paid by the Trustee, shall be repaid by the Company upon demand; and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 The Trustee may execute any of the trusts or powers hereunder or perform any duties hereunder either directly or by or through agents or attorneys and the Trustee shall not be responsible for any misconduct or negligence on the part of any agent or attorney appointed with due care by it hereunder.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the Trustee shall not be deemed to have knowledge of any Default or Event of Default except (1) any Event of Default occurring pursuant to Sections 6.01(a)(1), 6.01(a)(2) and 4.01 hereof or (2) any Default or Event of Default of which the Trustee shall have received written notification in the manner set forth in this Indenture or a Responsible Officer of the Trustee shall have obtained actual knowledge. Delivery of reports, information and documents to the Trustee under Section 5.03 is for informational purposes only and the information and the Trustee’s receipt of the foregoing shall not constitute constructive notice of any information contained therein, or determinable from information contained therein including the Company’s compliance with any of their covenants thereunder (as to which the Trustee is entitled to rely conclusively on an Officers’ Certificate).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155" w:name="a_0441"/>
      <w:bookmarkEnd w:id="155"/>
      <w:r>
        <w:rPr>
          <w:rFonts w:ascii="Times New Roman;Times;Serif" w:hAnsi="Times New Roman;Times;Serif"/>
          <w:b/>
          <w:i w:val="false"/>
          <w:caps w:val="false"/>
          <w:smallCaps w:val="false"/>
          <w:sz w:val="20"/>
        </w:rPr>
        <w:t>Section 7.03 Trustee Not Responsible for Recitals or Issuance or Securities.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The recitals contained herein and in the Securities shall be taken as the statements of the Company, and the Trustee assumes no responsibility for the correctness of the same.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The Trustee makes no representations as to the validity or sufficiency of this Indenture or of the Securities.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The Trustee shall not be accountable for the use or application by the Company of any of the Securities or of the proceeds of such Securities, or for the use or application of any moneys paid over by the Trustee in accordance with any provision of this Indenture or established pursuant to Section 2.01, or for the use or application of any moneys received by any paying agent other than the Trustee.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156" w:name="a_0451"/>
      <w:bookmarkEnd w:id="156"/>
      <w:r>
        <w:rPr>
          <w:rFonts w:ascii="Times New Roman;Times;Serif" w:hAnsi="Times New Roman;Times;Serif"/>
          <w:b/>
          <w:i w:val="false"/>
          <w:caps w:val="false"/>
          <w:smallCaps w:val="false"/>
          <w:sz w:val="20"/>
        </w:rPr>
        <w:t>Section 7.04 May Hold Securities.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Trustee or any paying agent or Security Registrar, in its individual or any other capacity, may become the owner or pledgee of Securities with the same rights it would have if it were not Trustee, paying agent or Security Registrar.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bdr w:val="single" w:sz="12" w:space="1" w:color="000000"/>
        </w:rPr>
      </w:pPr>
      <w:r>
        <w:rPr>
          <w:bdr w:val="single" w:sz="12" w:space="1" w:color="000000"/>
        </w:rPr>
        <w:t>24</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bookmarkStart w:id="157" w:name="a_0461"/>
      <w:bookmarkEnd w:id="157"/>
      <w:r>
        <w:rPr>
          <w:rFonts w:ascii="Times New Roman;Times;Serif" w:hAnsi="Times New Roman;Times;Serif"/>
          <w:b/>
          <w:i w:val="false"/>
          <w:caps w:val="false"/>
          <w:smallCaps w:val="false"/>
          <w:sz w:val="20"/>
        </w:rPr>
        <w:t>Section 7.05 Moneys Held in Trust.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Subject to the provisions of Section 11.05, all moneys received by the Trustee shall, until used or applied as herein provided, be held in trust for the purposes for which they were received, but need not be segregated from other funds except to the extent required by law. The Trustee shall be under no liability for interest on any moneys received by it hereunder except such as it may agree with the Company to pay thereon.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158" w:name="a_0471"/>
      <w:bookmarkEnd w:id="158"/>
      <w:r>
        <w:rPr>
          <w:rFonts w:ascii="Times New Roman;Times;Serif" w:hAnsi="Times New Roman;Times;Serif"/>
          <w:b/>
          <w:i w:val="false"/>
          <w:caps w:val="false"/>
          <w:smallCaps w:val="false"/>
          <w:sz w:val="20"/>
        </w:rPr>
        <w:t>Section 7.06 Compensation and Reimbursement.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The Company covenants and agrees to pay to the Trustee, and the Trustee shall be entitled to, such reasonable compensation (which shall not be limited by any provision of law in regard to the compensation of a trustee of an express trust) as the Company and the Trustee may from time to time agree in writing, for all services rendered by it in the execution of the trusts hereby created and in the exercise and performance of any of the powers and duties hereunder of the Trustee, and, except as otherwise expressly provided herein, the Company will pay or reimburse the Trustee upon its request for all reasonable expenses, disbursements and advances incurred or made by the Trustee in accordance with any of the provisions of this Indenture (including the reasonable compensation and the expenses and disbursements of its counsel and of all Persons not regularly in its employ), except any such expense, disbursement or advance as may arise from its negligence or bad faith and except as the Company and Trustee may from time to time agree in writing. The Company also covenants to indemnify the Trustee (and its officers, agents, directors and employees) for, and to hold it harmless against, any loss, liability or expense incurred without negligence or bad faith on the part of the Trustee and arising out of or in connection with the acceptance or administration of this trust, including the reasonable costs and expenses of defending itself against any claim of liability in the premises.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The obligations of the Company under this Section to compensate and indemnify the Trustee and to pay or reimburse the Trustee for reasonable expenses, disbursements and advances shall constitute indebtedness of the Company to which the Securities are subordinated. Such additional indebtedness shall be secured by a lien prior to that of the Securities upon all property and funds held or collected by the Trustee as such, except funds held in trust for the benefit of the holders of particular Securities.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159" w:name="a_0481"/>
      <w:bookmarkEnd w:id="159"/>
      <w:r>
        <w:rPr>
          <w:rFonts w:ascii="Times New Roman;Times;Serif" w:hAnsi="Times New Roman;Times;Serif"/>
          <w:b/>
          <w:i w:val="false"/>
          <w:caps w:val="false"/>
          <w:smallCaps w:val="false"/>
          <w:sz w:val="20"/>
        </w:rPr>
        <w:t>Section 7.07 Reliance on Officers’ Certificate.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Except as otherwise provided in Section 7.01, whenever in the administration of the provisions of this Indenture the Trustee shall deem it reasonably necessary or desirable that a matter be proved or established prior to taking or suffering or omitting to take any action hereunder, such matter (unless other evidence in respect thereof be herein specifically prescribed) may, in the absence of negligence or bad faith on the part of the Trustee, be deemed to be conclusively proved and established by an Officers’ Certificate delivered to the Trustee and such certificate, in the absence of negligence or bad faith on the part of the Trustee, shall be full warrant to the Trustee for any action taken, suffered or omitted to be taken by it under the provisions of this Indenture upon the faith thereof.</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160" w:name="a_0491"/>
      <w:bookmarkEnd w:id="160"/>
      <w:r>
        <w:rPr>
          <w:rFonts w:ascii="Times New Roman;Times;Serif" w:hAnsi="Times New Roman;Times;Serif"/>
          <w:b/>
          <w:i w:val="false"/>
          <w:caps w:val="false"/>
          <w:smallCaps w:val="false"/>
          <w:sz w:val="20"/>
        </w:rPr>
        <w:t>Section 7.08 Disqualification; Conflicting Interests.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Trustee has or shall acquire any “conflicting interest” within the meaning of Section 310(b) of the Trust Indenture Act, the Trustee and the Company shall in all respects comply with the provisions of Section 310(b) of the Trust Indenture Act.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bdr w:val="single" w:sz="12" w:space="1" w:color="000000"/>
        </w:rPr>
      </w:pPr>
      <w:r>
        <w:rPr>
          <w:bdr w:val="single" w:sz="12" w:space="1" w:color="000000"/>
        </w:rPr>
        <w:t>25</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bookmarkStart w:id="161" w:name="a_0501"/>
      <w:bookmarkEnd w:id="161"/>
      <w:r>
        <w:rPr>
          <w:rFonts w:ascii="Times New Roman;Times;Serif" w:hAnsi="Times New Roman;Times;Serif"/>
          <w:b/>
          <w:i w:val="false"/>
          <w:caps w:val="false"/>
          <w:smallCaps w:val="false"/>
          <w:sz w:val="20"/>
        </w:rPr>
        <w:t>Section 7.09 Corporate Trustee Required; Eligibility.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 shall at all times be a Trustee with respect to the Securities issued hereunder which shall at all times be a corporation organized and doing business under the laws of the United States of America or any state or territory thereof or of the District of Columbia, or a corporation or other Person permitted to act as trustee by the Securities and Exchange Commission, authorized under such laws to exercise corporate trust powers, having a combined capital and surplus of at least fifty million U.S. dollars ($50,000,000), and subject to supervision or examination by federal, state, territorial, or District of Columbia authority.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such corporation or other Person publishes reports of condition at least annually, pursuant to law or to the requirements of the aforesaid supervising or examining authority, then for the purposes of this Section, the combined capital and surplus of such corporation or other Person shall be deemed to be its combined capital and surplus as set forth in its most recent report of condition so published. The Company may not, nor may any Person directly or indirectly controlling, controlled by, or under common control with the Company, serve as Trustee. In case at any time the Trustee shall cease to be eligible in accordance with the provisions of this Section, the Trustee shall resign immediately in the manner and with the effect specified in Section 7.10.</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162" w:name="a_0511"/>
      <w:bookmarkEnd w:id="162"/>
      <w:r>
        <w:rPr>
          <w:rFonts w:ascii="Times New Roman;Times;Serif" w:hAnsi="Times New Roman;Times;Serif"/>
          <w:b/>
          <w:i w:val="false"/>
          <w:caps w:val="false"/>
          <w:smallCaps w:val="false"/>
          <w:sz w:val="20"/>
        </w:rPr>
        <w:t>Section 7.10 Resignation and Removal; Appointment of Successor.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The Trustee or any successor hereafter appointed may at any time resign with respect to the Securities of one or more series by giving written notice thereof to the Company and by transmitting notice of resignation by mail, first class postage prepaid, to the Securityholders of such series, as their names and addresses appear upon the Security Register. Upon receiving such notice of resignation, the Company shall promptly appoint a successor trustee with respect to Securities of such series by written instrument, in duplicate, executed by order of the Board of Directors, one copy of which instrument shall be delivered to the resigning Trustee and one copy to the successor trustee. If no successor trustee shall have been so appointed and have accepted appointment within 30 days after the mailing of such notice of resignation, the resigning Trustee may petition any court of competent jurisdiction for the appointment of a successor trustee with respect to Securities of such series, or any Securityholder of that series who has been a bona fide holder of a Security or Securities for at least six months may on behalf of himself and all others similarly situated, petition any such court for the appointment of a successor trustee. Such court may thereupon after such notice, if any, as it may deem proper and prescribe, appoint a successor trustee.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In case at any time any one of the following shall occur: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the Trustee shall fail to comply with the provisions of Section 7.08 after written request therefor by the Company or by any Securityholder who has been a bona fide holder of a Security or Securities for at least six months; or</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the Trustee shall cease to be eligible in accordance with the provisions of Section 7.09 and shall fail to resign after written request therefor by the Company or by any such Securityholder; or</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the Trustee shall become incapable of acting, or shall be adjudged a bankrupt or insolvent, or commence a voluntary bankruptcy proceeding, or a receiver of the Trustee or of its property shall be appointed or consented to, or any public officer shall take charge or control of the Trustee or of its property or affairs for the purpose of rehabilitation, conservation or liquidation;</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then, in any such case, the Company may remove the Trustee with respect to all Securities and appoint a successor trustee by written instrument, in duplicate, executed by order of the Board of Directors, one copy of which instrument shall be delivered to the Trustee so removed and one copy to the successor trustee, or any Securityholder who has been a bona fide holder of a Security or Securities for at least six months may, on behalf of that holder and all others similarly situated, petition any court of competent jurisdiction for the removal of the Trustee and the appointment of a successor trustee. Such court may thereupon after such notice, if any, as it may deem proper and prescribe, remove the Trustee and appoint a successor trustee.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bdr w:val="single" w:sz="12" w:space="1" w:color="000000"/>
        </w:rPr>
      </w:pPr>
      <w:r>
        <w:rPr>
          <w:bdr w:val="single" w:sz="12" w:space="1" w:color="000000"/>
        </w:rPr>
        <w:t>26</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The holders of a majority in aggregate principal amount of the Securities of any series at the time Outstanding may at any time remove the Trustee with respect to such series by so notifying the Trustee and the Company and may appoint a successor Trustee for such series with the consent of the Company.</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Any resignation or removal of the Trustee and appointment of a successor trustee with respect to the Securities of a series pursuant to any of the provisions of this Section shall become effective upon acceptance of appointment by the successor trustee as provided in Section 7.11.</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Any successor trustee appointed pursuant to this Section may be appointed with respect to the Securities of one or more series or all of such series, and at any time there shall be only one Trustee with respect to the Securities of any particular series.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bookmarkStart w:id="163" w:name="a_0521"/>
      <w:bookmarkEnd w:id="163"/>
      <w:r>
        <w:rPr>
          <w:rFonts w:ascii="Times New Roman;Times;Serif" w:hAnsi="Times New Roman;Times;Serif"/>
          <w:b/>
          <w:i w:val="false"/>
          <w:caps w:val="false"/>
          <w:smallCaps w:val="false"/>
          <w:sz w:val="20"/>
        </w:rPr>
        <w:t>Section 7.11 Acceptance of Appointment By Successor.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In case of the appointment hereunder of a successor trustee with respect to all Securities, every such successor trustee so appointed shall execute, acknowledge and deliver to the Company and to the retiring Trustee an instrument accepting such appointment, and thereupon the resignation or removal of the retiring Trustee shall become effective and such successor trustee, without any further act, deed or conveyance, shall become vested with all the rights, powers, trusts and duties of the retiring Trustee; but, on the request of the Company or the successor trustee, such retiring Trustee shall, upon payment of its charges, execute and deliver an instrument transferring to such successor trustee all the rights, powers, and trusts of the retiring Trustee and shall duly assign, transfer and deliver to such successor trustee all property and money held by such retiring Trustee hereunder.</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In case of the appointment hereunder of a successor trustee with respect to the Securities of one or more (but not all) series, the Company, the retiring Trustee and each successor trustee with respect to the Securities of one or more series shall execute and deliver an indenture supplemental hereto wherein each successor trustee shall accept such appointment and which (i) shall contain such provisions as shall be necessary or desirable to transfer and confirm to, and to vest in, each successor trustee all the rights, powers, trusts and duties of the retiring Trustee with respect to the Securities of that or those series to which the appointment of such successor trustee relates, (ii) shall contain such provisions as shall be deemed necessary or desirable to confirm that all the rights, powers, trusts and duties of the retiring Trustee with respect to the Securities of that or those series as to which the retiring Trustee is not retiring shall continue to be vested in the retiring Trustee, and (iii) shall add to or change any of the provisions of this Indenture as shall be necessary to provide for or facilitate the administration of the trusts hereunder by more than one Trustee, it being understood that nothing herein or in such supplemental indenture shall constitute such Trustees co-trustees of the same trust, that each such Trustee shall be trustee of a trust or trusts hereunder separate and apart from any trust or trusts hereunder administered by any other such Trustee and that no Trustee shall be responsible for any act or failure to act on the part of any other Trustee hereunder; and upon the execution and delivery of such supplemental indenture the resignation or removal of the retiring Trustee shall become effective to the extent provided therein, such retiring Trustee shall with respect to the Securities of that or those series to which the appointment of such successor trustee relates have no further responsibility for the exercise of rights and powers or for the performance of the duties and obligations vested in the Trustee under this Indenture, and each such successor trustee, without any further act, deed or conveyance, shall become vested with all the rights, powers, trusts and duties of the retiring Trustee with respect to the Securities of that or those series to which the appointment of such successor trustee relates; but, on request of the Company or any successor trustee, such retiring Trustee shall duly assign, transfer and deliver to such successor trustee, to the extent contemplated by such supplemental indenture, the property and money held by such retiring Trustee hereunder with respect to the Securities of that or those series to which the appointment of such successor trustee relates.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center"/>
        <w:rPr>
          <w:bdr w:val="single" w:sz="12" w:space="1" w:color="000000"/>
        </w:rPr>
      </w:pPr>
      <w:r>
        <w:rPr>
          <w:bdr w:val="single" w:sz="12" w:space="1" w:color="000000"/>
        </w:rPr>
        <w:t>27</w:t>
      </w:r>
    </w:p>
    <w:p>
      <w:pPr>
        <w:pStyle w:val="TextBody"/>
        <w:bidi w:val="0"/>
        <w:spacing w:before="0" w:after="0"/>
        <w:ind w:left="0" w:right="0" w:hanging="0"/>
        <w:jc w:val="left"/>
        <w:rPr/>
      </w:pPr>
      <w:r>
        <w:rPr/>
        <w:t> </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Upon request of any such successor trustee, the Company shall execute any and all instruments for more fully and certainly vesting in and confirming to such successor trustee all such rights, powers and trusts referred to in paragraph (a) or (b) of this Section, as the case may be.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No successor trustee shall accept its appointment unless at the time of such acceptance such successor trustee shall be qualified and eligible under this Article.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Upon acceptance of appointment by a successor trustee as provided in this Section, the Company shall transmit notice of the succession of such trustee hereunder by mail, first class postage prepaid, to the Securityholders, as their names and addresses appear upon the Security Register. If the Company fails to transmit such notice within ten days after acceptance of appointment by the successor trustee, the successor trustee shall cause such notice to be transmitted at the expense of the Company.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164" w:name="a_0531"/>
      <w:bookmarkEnd w:id="164"/>
      <w:r>
        <w:rPr>
          <w:rFonts w:ascii="Times New Roman;Times;Serif" w:hAnsi="Times New Roman;Times;Serif"/>
          <w:b/>
          <w:i w:val="false"/>
          <w:caps w:val="false"/>
          <w:smallCaps w:val="false"/>
          <w:sz w:val="20"/>
        </w:rPr>
        <w:t>Section 7.12 Merger, Conversion, Consolidation or Succession to Business.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corporation into which the Trustee may be merged or converted or with which it may be consolidated, or any corporation resulting from any merger, conversion or consolidation to which the Trustee shall be a party, or any corporation succeeding to the corporate trust business of the Trustee, shall be the successor of the Trustee hereunder, provided that such corporation shall be qualified under the provisions of Section 7.08 and eligible under the provisions of Section 7.09, without the execution or filing of any paper or any further act on the part of any of the parties hereto, anything herein to the contrary notwithstanding. In case any Securities shall have been authenticated, but not delivered, by the Trustee then in office, any successor by merger, conversion or consolidation to such authenticating Trustee may adopt such authentication and deliver the Securities so authenticated with the same effect as if such successor Trustee had itself authenticated such Securities.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165" w:name="a_0541"/>
      <w:bookmarkEnd w:id="165"/>
      <w:r>
        <w:rPr>
          <w:rFonts w:ascii="Times New Roman;Times;Serif" w:hAnsi="Times New Roman;Times;Serif"/>
          <w:b/>
          <w:i w:val="false"/>
          <w:caps w:val="false"/>
          <w:smallCaps w:val="false"/>
          <w:sz w:val="20"/>
        </w:rPr>
        <w:t>Section 7.13 Preferential Collection of Claims Against the Company.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Trustee shall comply with Section 311(a) of the Trust Indenture Act, excluding any creditor relationship described in Section 311(b) of the Trust Indenture Act. A Trustee who has resigned or been removed shall be subject to Section 311(a) of the Trust Indenture Act to the extent included therein.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166" w:name="a_0551"/>
      <w:bookmarkEnd w:id="166"/>
      <w:r>
        <w:rPr>
          <w:rFonts w:ascii="Times New Roman;Times;Serif" w:hAnsi="Times New Roman;Times;Serif"/>
          <w:b/>
          <w:i w:val="false"/>
          <w:caps w:val="false"/>
          <w:smallCaps w:val="false"/>
          <w:sz w:val="20"/>
        </w:rPr>
        <w:t>Section 7.14 Notice of Default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any Default or any Event of Default occurs and is continuing and if such Default or Event of Default is known to a Responsible Officer of the Trustee, the Trustee shall mail to each Securityholder in the manner and to the extent provided in Section 313(c) of the Trust Indenture Act notice of the Default or Event of Default within 45 days after it occurs and becomes known to the Trustee, unless such Default or Event of Default has been cured; </w:t>
      </w:r>
      <w:r>
        <w:rPr>
          <w:rFonts w:ascii="Times New Roman;Times;Serif" w:hAnsi="Times New Roman;Times;Serif"/>
          <w:b w:val="false"/>
          <w:i/>
          <w:caps w:val="false"/>
          <w:smallCaps w:val="false"/>
          <w:sz w:val="20"/>
        </w:rPr>
        <w:t>provided, however</w:t>
      </w:r>
      <w:r>
        <w:rPr>
          <w:rFonts w:ascii="Times New Roman;Times;Serif" w:hAnsi="Times New Roman;Times;Serif"/>
          <w:b w:val="false"/>
          <w:i w:val="false"/>
          <w:caps w:val="false"/>
          <w:smallCaps w:val="false"/>
          <w:sz w:val="20"/>
        </w:rPr>
        <w:t>, that, except in the case of a default in the payment of the principal of (or premium, if any) or interest on any Security, the Trustee shall be protected in withholding such notice if and so long as the board of directors, the executive committee or a trust committee of directors and/or Responsible Officers of the Trustee in good faith determine that the withholding of such notice is in the interest of the Securityholders.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bdr w:val="single" w:sz="12" w:space="1" w:color="000000"/>
        </w:rPr>
      </w:pPr>
      <w:r>
        <w:rPr>
          <w:bdr w:val="single" w:sz="12" w:space="1" w:color="000000"/>
        </w:rPr>
        <w:t>28</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bookmarkStart w:id="167" w:name="a_0561"/>
      <w:bookmarkEnd w:id="167"/>
      <w:r>
        <w:rPr>
          <w:rFonts w:ascii="Times New Roman;Times;Serif" w:hAnsi="Times New Roman;Times;Serif"/>
          <w:b/>
          <w:i w:val="false"/>
          <w:caps w:val="false"/>
          <w:smallCaps w:val="false"/>
          <w:sz w:val="20"/>
        </w:rPr>
        <w:t>ARTICLE 8</w:t>
        <w:br/>
        <w:br/>
        <w:t>CONCERNING THE SECURITYHOLDERS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bookmarkStart w:id="168" w:name="a_0571"/>
      <w:bookmarkEnd w:id="168"/>
      <w:r>
        <w:rPr>
          <w:rFonts w:ascii="Times New Roman;Times;Serif" w:hAnsi="Times New Roman;Times;Serif"/>
          <w:b/>
          <w:i w:val="false"/>
          <w:caps w:val="false"/>
          <w:smallCaps w:val="false"/>
          <w:sz w:val="20"/>
        </w:rPr>
        <w:t>Section 8.01 Evidence of Action by Securityholders.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Whenever in this Indenture it is provided that the holders of a majority or specified percentage in aggregate principal amount of the Securities of a particular series may take any action (including the making of any demand or request, the giving of any notice, consent or waiver or the taking of any other action), the fact that at the time of taking any such action the holders of such majority or specified percentage of that series have joined therein may be evidenced by any instrument or any number of instruments of similar tenor executed by such holders of Securities of that series in person or by agent or proxy appointed in writing.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Company shall solicit from the Securityholders of any series any request, demand, authorization, direction, notice, consent, waiver or other action, the Company may, at its option, as evidenced by an Officers’ Certificate, fix in advance a record date for such series for the determination of Securityholders entitled to give such request, demand, authorization, direction, notice, consent, waiver or other action, but the Company shall have no obligation to do so. If such a record date is fixed, such request, demand, authorization, direction, notice, consent, waiver or other action may be given before or after the record date, but only the Securityholders of record at the close of business on the record date shall be deemed to be Securityholders for the purposes of determining whether Securityholders of the requisite proportion of Outstanding Securities of that series have authorized or agreed or consented to such request, demand, authorization, direction, notice, consent, waiver or other action, and for that purpose the Outstanding Securities of that series shall be computed as of the record date; provided, however, that no such authorization, agreement or consent by such Securityholders on the record date shall be deemed effective unless it shall become effective pursuant to the provisions of this Indenture not later than six months after the record date.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169" w:name="a_0581"/>
      <w:bookmarkEnd w:id="169"/>
      <w:r>
        <w:rPr>
          <w:rFonts w:ascii="Times New Roman;Times;Serif" w:hAnsi="Times New Roman;Times;Serif"/>
          <w:b/>
          <w:i w:val="false"/>
          <w:caps w:val="false"/>
          <w:smallCaps w:val="false"/>
          <w:sz w:val="20"/>
        </w:rPr>
        <w:t>Section 8.02 Proof of Execution by Securityholders.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Subject to the provisions of Section 7.01, proof of the execution of any instrument by a Securityholder (such proof will not require notarization) or his agent or proxy and proof of the holding by any Person of any of the Securities shall be sufficient if made in the following manner: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The fact and date of the execution by any such Person of any instrument may be proved in any reasonable manner acceptable to the Trustee.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The ownership of Securities shall be proved by the Security Register of such Securities or by a certificate of the Security Registrar thereof.</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Trustee may require such additional proof of any matter referred to in this Section as it shall deem necessary.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170" w:name="a_0591"/>
      <w:bookmarkEnd w:id="170"/>
      <w:r>
        <w:rPr>
          <w:rFonts w:ascii="Times New Roman;Times;Serif" w:hAnsi="Times New Roman;Times;Serif"/>
          <w:b/>
          <w:i w:val="false"/>
          <w:caps w:val="false"/>
          <w:smallCaps w:val="false"/>
          <w:sz w:val="20"/>
        </w:rPr>
        <w:t>Section 8.03 Who May be Deemed Owners.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Prior to the due presentment for registration of transfer of any Security, the Company, the Trustee, any paying agent and any Security Registrar may deem and treat the Person in whose name such Security shall be registered upon the books of the Company as the absolute owner of such Security (whether or not such Security shall be overdue and notwithstanding any notice of ownership or writing thereon made by anyone other than the Security Registrar) for the purpose of receiving payment of or on account of the principal of, premium, if any, and (subject to Section 2.03) interest on such Security and for all other purposes; and neither the Company nor the Trustee nor any paying agent nor any Security Registrar shall be affected by any notice to the contrary.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bdr w:val="single" w:sz="12" w:space="1" w:color="000000"/>
        </w:rPr>
      </w:pPr>
      <w:r>
        <w:rPr>
          <w:bdr w:val="single" w:sz="12" w:space="1" w:color="000000"/>
        </w:rPr>
        <w:t>29</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bookmarkStart w:id="171" w:name="a_0601"/>
      <w:bookmarkEnd w:id="171"/>
      <w:r>
        <w:rPr>
          <w:rFonts w:ascii="Times New Roman;Times;Serif" w:hAnsi="Times New Roman;Times;Serif"/>
          <w:b/>
          <w:i w:val="false"/>
          <w:caps w:val="false"/>
          <w:smallCaps w:val="false"/>
          <w:sz w:val="20"/>
        </w:rPr>
        <w:t>Section 8.04 Certain Securities Owned by Company Disregarded.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determining whether the holders of the requisite aggregate principal amount of Securities of a particular series have concurred in any direction, consent or waiver under this Indenture, the Securities of that series that are owned by the Company or any other obligor on the Securities of that series or by any Person directly or indirectly controlling or controlled by or under common control with the Company or any other obligor on the Securities of that series shall be disregarded and deemed not to be Outstanding for the purpose of any such determination, except that for the purpose of determining whether the Trustee shall be protected in relying on any such direction, consent or waiver, only Securities of such series that the Trustee actually knows are so owned shall be so disregarded. The Securities so owned that have been pledged in good faith may be regarded as Outstanding for the purposes of this Section, if the pledgee shall establish to the satisfaction of the Trustee the pledgee’s right so to act with respect to such Securities and that the pledgee is not a Person directly or indirectly controlling or controlled by or under direct or indirect common control with the Company or any such other obligor. In case of a dispute as to such right, any decision by the Trustee taken upon the advice of counsel shall be full protection to the Trustee.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bookmarkStart w:id="172" w:name="a_0611"/>
      <w:bookmarkEnd w:id="172"/>
      <w:r>
        <w:rPr>
          <w:rFonts w:ascii="Times New Roman;Times;Serif" w:hAnsi="Times New Roman;Times;Serif"/>
          <w:b/>
          <w:i w:val="false"/>
          <w:caps w:val="false"/>
          <w:smallCaps w:val="false"/>
          <w:sz w:val="20"/>
        </w:rPr>
        <w:t>Section 8.05 Actions Binding on Future Securityholders.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 any time prior to (but not after) the evidencing to the Trustee, as provided in Section 8.01, of the taking of any action by the holders of the majority or percentage in aggregate principal amount of the Securities of a particular series specified in this Indenture in connection with such action, any holder of a Security of that series that is shown by the evidence to be included in the Securities the holders of which have consented to such action may, by filing written notice with the Trustee, and upon proof of holding as provided in Section 8.02, revoke such action so far as concerns such Security. Except as aforesaid any such action taken by the holder of any Security shall be conclusive and binding upon such holder and upon all future holders and owners of such Security, and of any Security issued in exchange therefor, on registration of transfer thereof or in place thereof, irrespective of whether or not any notation in regard thereto is made upon such Security. Any action taken by the holders of the majority or percentage in aggregate principal amount of the Securities of a particular series specified in this Indenture in connection with such action shall be conclusively binding upon the Company, the Trustee and the holders of all the Securities of that series.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173" w:name="a_0621"/>
      <w:bookmarkEnd w:id="173"/>
      <w:r>
        <w:rPr>
          <w:rFonts w:ascii="Times New Roman;Times;Serif" w:hAnsi="Times New Roman;Times;Serif"/>
          <w:b/>
          <w:i w:val="false"/>
          <w:caps w:val="false"/>
          <w:smallCaps w:val="false"/>
          <w:sz w:val="20"/>
        </w:rPr>
        <w:t>ARTICLE 9</w:t>
        <w:br/>
        <w:br/>
        <w:t>SUPPLEMENTAL INDENTURES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bookmarkStart w:id="174" w:name="a_0631"/>
      <w:bookmarkEnd w:id="174"/>
      <w:r>
        <w:rPr>
          <w:rFonts w:ascii="Times New Roman;Times;Serif" w:hAnsi="Times New Roman;Times;Serif"/>
          <w:b/>
          <w:i w:val="false"/>
          <w:caps w:val="false"/>
          <w:smallCaps w:val="false"/>
          <w:sz w:val="20"/>
        </w:rPr>
        <w:t>Section 9.01 Supplemental Indentures Without the Consent of Securityholders.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to any supplemental indenture otherwise authorized by this Indenture, the Company and the Trustee may from time to time and at any time enter into an indenture or indentures supplemental hereto (which shall conform to the provisions of the Trust Indenture Act as then in effect), without the consent of the Securityholders, for one or more of the following purposes: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to cure any ambiguity, defect, or inconsistency herein or in the Securities of any series;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to comply with Article Ten;</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center"/>
        <w:rPr>
          <w:bdr w:val="single" w:sz="12" w:space="1" w:color="000000"/>
        </w:rPr>
      </w:pPr>
      <w:r>
        <w:rPr>
          <w:bdr w:val="single" w:sz="12" w:space="1" w:color="000000"/>
        </w:rPr>
        <w:t>30</w:t>
      </w:r>
    </w:p>
    <w:p>
      <w:pPr>
        <w:pStyle w:val="TextBody"/>
        <w:bidi w:val="0"/>
        <w:spacing w:before="0" w:after="0"/>
        <w:ind w:left="0" w:right="0" w:hanging="0"/>
        <w:jc w:val="left"/>
        <w:rPr/>
      </w:pPr>
      <w:r>
        <w:rPr/>
        <w:t> </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to provide for uncertificated Securities in addition to or in place of certificated Securities and to make all appropriate changes for such purpose;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to add to the covenants, restrictions, conditions or provisions relating to the Company for the benefit of the holders of all or any series of Securities (and if such covenants, restrictions, conditions or provisions are to be for the benefit of less than all series of Securities, stating that such covenants, restrictions, conditions or provisions are expressly being included solely for the benefit of such series), to make the occurrence, or the occurrence and the continuance, of a default in any such additional covenants, restrictions, conditions or provisions an Event of Default, or to surrender any right or power herein conferred upon the Company;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to add to, delete from, or revise the conditions, limitations, and restrictions on the authorized amount, terms, or purposes of issue, authentication, and delivery of Securities, as herein set forth;</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to make any change that does not adversely affect the rights of any Securityholder in any material respect;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 to provide for the issuance of and establish the form and terms and conditions of the Securities of any series as provided in Section 2.01, to establish the form of any certifications required to be furnished pursuant to the terms of this Indenture or any series of Securities, or to add to the rights of the holders of any series of Securities;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 to evidence and provide for the acceptance of appointment hereunder by a successor trustee; or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to comply with any requirements of the Securities and Exchange Commission or any successor in connection with the qualification of this Indenture under the Trust Indenture Act.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Trustee is hereby authorized to join with the Company in the execution of any such supplemental indenture, and to make any further appropriate agreements and stipulations that may be therein contained, but the Trustee shall not be obligated to enter into any such supplemental indenture that affects the Trustee’s own rights, duties or immunities under this Indenture or otherwise.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supplemental indenture authorized by the provisions of this Section may be executed by the Company and the Trustee without the consent of the holders of any of the Securities at the time Outstanding, notwithstanding any of the provisions of Section 9.02.</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175" w:name="a_0641"/>
      <w:bookmarkEnd w:id="175"/>
      <w:r>
        <w:rPr>
          <w:rFonts w:ascii="Times New Roman;Times;Serif" w:hAnsi="Times New Roman;Times;Serif"/>
          <w:b/>
          <w:i w:val="false"/>
          <w:caps w:val="false"/>
          <w:smallCaps w:val="false"/>
          <w:sz w:val="20"/>
        </w:rPr>
        <w:t>Section 9.02 Supplemental Indentures With Consent of Securityholders.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With the consent (evidenced as provided in Section 8.01) of the holders of not less than a majority in aggregate principal amount of the Securities of each series affected by such supplemental indenture or indentures at the time Outstanding, the Company, when authorized by a Board Resolution, and the Trustee may from time to time and at any time enter into an indenture or indentures supplemental hereto (which shall conform to the provisions of the Trust Indenture Act as then in effect) for the purpose of adding any provisions to or changing in any manner or eliminating any of the provisions of this Indenture or of any supplemental indenture or of modifying in any manner not covered by Section 9.01 the rights of the holders of the Securities of such series under this Indenture; provided, however, that no such supplemental indenture shall, without the consent of the holders of each Security of the series affected by such supplement indenture then Outstanding and affected thereby, (a) extend the fixed maturity of any Securities of any series, or reduce the principal amount thereof, or reduce the rate or extend the time of payment of interest thereon, or reduce any premium payable upon the redemption thereof or (b) reduce the aforesaid percentage of Securities, the holders of which are required to consent to any such supplemental indenture.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bdr w:val="single" w:sz="12" w:space="1" w:color="000000"/>
        </w:rPr>
      </w:pPr>
      <w:r>
        <w:rPr>
          <w:bdr w:val="single" w:sz="12" w:space="1" w:color="000000"/>
        </w:rPr>
        <w:t>31</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 shall not be necessary for the consent of the Securityholders of any series affected thereby under this Section to approve the particular form of any proposed supplemental indenture, but it shall be sufficient if such consent shall approve the substance thereof.</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176" w:name="a_0651"/>
      <w:bookmarkEnd w:id="176"/>
      <w:r>
        <w:rPr>
          <w:rFonts w:ascii="Times New Roman;Times;Serif" w:hAnsi="Times New Roman;Times;Serif"/>
          <w:b/>
          <w:i w:val="false"/>
          <w:caps w:val="false"/>
          <w:smallCaps w:val="false"/>
          <w:sz w:val="20"/>
        </w:rPr>
        <w:t>Section 9.03 Effect of Supplemental Indentures.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Upon the execution of any supplemental indenture pursuant to the provisions of this Article or of Section 10.01, this Indenture shall, with respect to such series, be and be deemed to be modified and amended in accordance therewith and the respective rights, limitations of rights, obligations, duties and immunities under this Indenture of the Trustee, the Company and the holders of Securities of the series affected thereby shall thereafter be determined, exercised and enforced hereunder subject in all respects to such modifications and amendments, and all the terms and conditions of any such supplemental indenture shall be and be deemed to be part of the terms and conditions of this Indenture for any and all purposes.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177" w:name="a_0661"/>
      <w:bookmarkEnd w:id="177"/>
      <w:r>
        <w:rPr>
          <w:rFonts w:ascii="Times New Roman;Times;Serif" w:hAnsi="Times New Roman;Times;Serif"/>
          <w:b/>
          <w:i w:val="false"/>
          <w:caps w:val="false"/>
          <w:smallCaps w:val="false"/>
          <w:sz w:val="20"/>
        </w:rPr>
        <w:t>Section 9.04 Securities Affected by Supplemental Indentures.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Securities of any series affected by a supplemental indenture, authenticated and delivered after the execution of such supplemental indenture pursuant to the provisions of this Article or of Section 10.01, may bear a notation in form approved by the Company, provided such form meets the requirements of any securities exchange upon which such series may be listed, as to any matter provided for in such supplemental indenture. If the Company shall so determine, new Securities of that series so modified as to conform, in the opinion of the Board of Directors, to any modification of this Indenture contained in any such supplemental indenture may be prepared by the Company, authenticated by the Trustee and delivered in exchange for the Securities of that series then Outstanding.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178" w:name="a_0671"/>
      <w:bookmarkEnd w:id="178"/>
      <w:r>
        <w:rPr>
          <w:rFonts w:ascii="Times New Roman;Times;Serif" w:hAnsi="Times New Roman;Times;Serif"/>
          <w:b/>
          <w:i w:val="false"/>
          <w:caps w:val="false"/>
          <w:smallCaps w:val="false"/>
          <w:sz w:val="20"/>
        </w:rPr>
        <w:t>Section 9.05 Execution of Supplemental Indentures.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Upon the request of the Company, accompanied by its Board Resolutions authorizing the execution of any such supplemental indenture, and upon the filing with the Trustee of evidence of the consent of Securityholders required to consent thereto as aforesaid, the Trustee shall join with the Company in the execution of such supplemental indenture unless such supplemental indenture affects the Trustee’s own rights, duties or immunities under this Indenture or otherwise, in which case the Trustee may in its discretion but shall not be obligated to enter into such supplemental indenture. The Trustee, subject to the provisions of Section 7.01, will be entitled to receive and will be fully protected in relying upon an Officers’ Certificate and an Opinion of Counsel stating that any supplemental indenture executed pursuant to this Article is authorized or permitted by, and conforms to, the terms of this Article and that it is proper for the Trustee under the provisions of this Article to join in the execution thereof; provided, however, that such Officers’ Certificate or Opinion of Counsel need not be provided in connection with the execution of a supplemental indenture that establishes the terms of a series of Securities pursuant to Section 2.01 hereof.</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Promptly after the execution by the Company and the Trustee of any supplemental indenture pursuant to the provisions of this Section, the Trustee shall transmit by mail, first class postage prepaid, a notice, setting forth in general terms the substance of such supplemental indenture, to the Securityholders of all series affected thereby as their names and addresses appear upon the Security Register. Any failure of the Trustee to mail such notice, or any defect therein, shall not, however, in any way impair or affect the validity of any such supplemental indenture.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bdr w:val="single" w:sz="12" w:space="1" w:color="000000"/>
        </w:rPr>
      </w:pPr>
      <w:r>
        <w:rPr>
          <w:bdr w:val="single" w:sz="12" w:space="1" w:color="000000"/>
        </w:rPr>
        <w:t>32</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179" w:name="a_0681"/>
      <w:bookmarkEnd w:id="179"/>
      <w:r>
        <w:rPr>
          <w:rFonts w:ascii="Times New Roman;Times;Serif" w:hAnsi="Times New Roman;Times;Serif"/>
          <w:b/>
          <w:i w:val="false"/>
          <w:caps w:val="false"/>
          <w:smallCaps w:val="false"/>
          <w:sz w:val="20"/>
        </w:rPr>
        <w:t>ARTICLE 10</w:t>
        <w:br/>
        <w:br/>
        <w:t>SUCCESSOR ENTITY</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bookmarkStart w:id="180" w:name="a_0691"/>
      <w:bookmarkEnd w:id="180"/>
      <w:r>
        <w:rPr>
          <w:rFonts w:ascii="Times New Roman;Times;Serif" w:hAnsi="Times New Roman;Times;Serif"/>
          <w:b/>
          <w:i w:val="false"/>
          <w:caps w:val="false"/>
          <w:smallCaps w:val="false"/>
          <w:sz w:val="20"/>
        </w:rPr>
        <w:t>Section 10.01 Company May Consolidate, Etc.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Except as provided pursuant to Section 2.01 pursuant to a Board Resolution, and set forth in an Officers’ Certificate, or established in one or more indentures supplemental to this Indenture, nothing contained in this Indenture shall prevent any consolidation or merger of the Company with or into any other Person (whether or not affiliated with the Company) or successive consolidations or mergers in which the Company or its successor or successors shall be a party or parties, or shall prevent any sale, conveyance, transfer or other disposition of the property of the Company or its successor or successors as an entirety, or substantially as an entirety, to any other corporation (whether or not affiliated with the Company or its successor or successors) authorized to acquire and operate the same; provided, however, the Company hereby covenants and agrees that, upon any such consolidation or merger (in each case, if the Company is not the survivor of such transaction), sale, conveyance, transfer or other disposition, the due and punctual payment of the principal of (premium, if any) and interest on all of the Securities of all series in accordance with the terms of each series, according to their tenor, and the due and punctual performance and observance of all the covenants and conditions of this Indenture with respect to each series or established with respect to such series pursuant to Section 2.01 to be kept or performed by the Company shall be expressly assumed, by supplemental indenture (which shall conform to the provisions of the Trust Indenture Act, as then in effect) reasonably satisfactory in form to the Trustee executed and delivered to the Trustee by the entity formed by such consolidation, or into which the Company shall have been merged, or by the entity which shall have acquired such property.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181" w:name="a_0701"/>
      <w:bookmarkEnd w:id="181"/>
      <w:r>
        <w:rPr>
          <w:rFonts w:ascii="Times New Roman;Times;Serif" w:hAnsi="Times New Roman;Times;Serif"/>
          <w:b/>
          <w:i w:val="false"/>
          <w:caps w:val="false"/>
          <w:smallCaps w:val="false"/>
          <w:sz w:val="20"/>
        </w:rPr>
        <w:t>Section 10.02 Successor Entity Substituted.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In case of any such consolidation, merger, sale, conveyance, transfer or other disposition and upon the assumption by the successor entity by supplemental indenture, executed and delivered to the Trustee and satisfactory in form to the Trustee, of the obligations set forth under Section 10.01 on all of the Securities of all series Outstanding, such successor entity shall succeed to and be substituted for the Company with the same effect as if it had been named as the Company herein, and thereupon the predecessor corporation shall be relieved of all obligations and covenants under this Indenture and the Securities.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In case of any such consolidation, merger, sale, conveyance, transfer or other disposition, such changes in phraseology and form (but not in substance) may be made in the Securities thereafter to be issued as may be appropriate.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Nothing contained in this Article shall require any action by the Company in the case of a consolidation or merger of any Person into the Company where the Company is the survivor of such transaction, or the acquisition by the Company, by purchase or otherwise, of all or any part of the property of any other Person (whether or not affiliated with the Company).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182" w:name="a_0711"/>
      <w:bookmarkEnd w:id="182"/>
      <w:r>
        <w:rPr>
          <w:rFonts w:ascii="Times New Roman;Times;Serif" w:hAnsi="Times New Roman;Times;Serif"/>
          <w:b/>
          <w:i w:val="false"/>
          <w:caps w:val="false"/>
          <w:smallCaps w:val="false"/>
          <w:sz w:val="20"/>
        </w:rPr>
        <w:t>Section 10.03 Evidence of Consolidation, Etc. to Trustee.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Trustee, subject to the provisions of Section 7.01, may receive an Officers’ Certificate or an Opinion of Counsel as conclusive evidence that any such consolidation, merger, sale, conveyance, transfer or other disposition, and any such assumption, comply with the provisions of this Article.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bdr w:val="single" w:sz="12" w:space="1" w:color="000000"/>
        </w:rPr>
      </w:pPr>
      <w:r>
        <w:rPr>
          <w:bdr w:val="single" w:sz="12" w:space="1" w:color="000000"/>
        </w:rPr>
        <w:t>33</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183" w:name="a_0721"/>
      <w:bookmarkEnd w:id="183"/>
      <w:r>
        <w:rPr>
          <w:rFonts w:ascii="Times New Roman;Times;Serif" w:hAnsi="Times New Roman;Times;Serif"/>
          <w:b/>
          <w:i w:val="false"/>
          <w:caps w:val="false"/>
          <w:smallCaps w:val="false"/>
          <w:sz w:val="20"/>
        </w:rPr>
        <w:t>ARTICLE 11</w:t>
        <w:br/>
        <w:br/>
        <w:t>SATISFACTION AND DISCHARGE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bookmarkStart w:id="184" w:name="a_0731"/>
      <w:bookmarkEnd w:id="184"/>
      <w:r>
        <w:rPr>
          <w:rFonts w:ascii="Times New Roman;Times;Serif" w:hAnsi="Times New Roman;Times;Serif"/>
          <w:b/>
          <w:i w:val="false"/>
          <w:caps w:val="false"/>
          <w:smallCaps w:val="false"/>
          <w:sz w:val="20"/>
        </w:rPr>
        <w:t>Section 11.01 Satisfaction and Discharge of Indenture.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at any time: (a) the Company shall have delivered to the Trustee for cancellation all Securities of a series theretofore authenticated and not delivered to the Trustee for cancellation (other than any Securities that shall have been destroyed, lost or stolen and that shall have been replaced or paid as provided in Section 2.07 and Securities for whose payment money or Governmental Obligations have theretofore been deposited in trust or segregated and held in trust by the Company and thereupon repaid to the Company or discharged from such trust, as provided in Section 11.05); or (b) all such Securities of a particular series not theretofore delivered to the Trustee for cancellation shall have become due and payable, or are by their terms to become due and payable within one year or are to be called for redemption within one year under arrangements satisfactory to the Trustee for the giving of notice of redemption, and the Company shall deposit or cause to be deposited with the Trustee as trust funds the entire amount in moneys or Governmental Obligations or a combination thereof, sufficient in the opinion of a nationally recognized firm of independent public accountants expressed in a written certification thereof delivered to the Trustee, to pay at maturity or upon redemption all Securities of that series not theretofore delivered to the Trustee for cancellation, including principal (and premium, if any) and interest due or to become due to such date of maturity or date fixed for redemption, as the case may be, and if the Company shall also pay or cause to be paid all other sums payable hereunder with respect to such series by the Company then this Indenture shall thereupon cease to be of further effect with respect to such series except for the provisions of Sections 2.03, 2.05, 2.07, 4.01, 4.02, 4.03 and 7.10, that shall survive until the date of maturity or redemption date, as the case may be, and Sections 7.06 and 11.05, that shall survive to such date and thereafter, and the Trustee, on demand of the Company and at the cost and expense of the Company shall execute proper instruments acknowledging satisfaction of and discharging this Indenture with respect to such series.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185" w:name="a_0741"/>
      <w:bookmarkEnd w:id="185"/>
      <w:r>
        <w:rPr>
          <w:rFonts w:ascii="Times New Roman;Times;Serif" w:hAnsi="Times New Roman;Times;Serif"/>
          <w:b/>
          <w:i w:val="false"/>
          <w:caps w:val="false"/>
          <w:smallCaps w:val="false"/>
          <w:sz w:val="20"/>
        </w:rPr>
        <w:t>Section 11.02 Discharge of Obligations.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at any time all such Securities of a particular series not heretofore delivered to the Trustee for cancellation or that have not become due and payable as described in Section 11.01 shall have been paid by the Company by depositing irrevocably with the Trustee as trust funds moneys or an amount of Governmental Obligations sufficient to pay at maturity or upon redemption all such Securities of that series not theretofore delivered to the Trustee for cancellation, including principal (and premium, if any) and interest due or to become due to such date of maturity or date fixed for redemption, as the case may be, and if the Company shall also pay or cause to be paid all other sums payable hereunder by the Company with respect to such series, then after the date such moneys or Governmental Obligations, as the case may be, are deposited with the Trustee the obligations of the Company under this Indenture with respect to such series shall cease to be of further effect except for the provisions of Sections 2.03, 2.05, 2.07, 4,01, 4.02, 4,03, 7.05, 7.10 and 11.05 hereof that shall survive until such Securities shall mature and be paid.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Thereafter, Sections 7.06 and 11.05 shall survive.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186" w:name="a_0751"/>
      <w:bookmarkEnd w:id="186"/>
      <w:r>
        <w:rPr>
          <w:rFonts w:ascii="Times New Roman;Times;Serif" w:hAnsi="Times New Roman;Times;Serif"/>
          <w:b/>
          <w:i w:val="false"/>
          <w:caps w:val="false"/>
          <w:smallCaps w:val="false"/>
          <w:sz w:val="20"/>
        </w:rPr>
        <w:t>Section 11.03 Deposited Moneys to be Held in Trust.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moneys or Governmental Obligations deposited with the Trustee pursuant to Sections 11.01 or 11.02 shall be held in trust and shall be available for payment as due, either directly or through any paying agent (including the Company acting as its own paying agent), to the holders of the particular series of Securities for the payment or redemption of which such moneys or Governmental Obligations have been deposited with the Trustee.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bdr w:val="single" w:sz="12" w:space="1" w:color="000000"/>
        </w:rPr>
      </w:pPr>
      <w:r>
        <w:rPr>
          <w:bdr w:val="single" w:sz="12" w:space="1" w:color="000000"/>
        </w:rPr>
        <w:t>34</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bookmarkStart w:id="187" w:name="a_0761"/>
      <w:bookmarkEnd w:id="187"/>
      <w:r>
        <w:rPr>
          <w:rFonts w:ascii="Times New Roman;Times;Serif" w:hAnsi="Times New Roman;Times;Serif"/>
          <w:b/>
          <w:i w:val="false"/>
          <w:caps w:val="false"/>
          <w:smallCaps w:val="false"/>
          <w:sz w:val="20"/>
        </w:rPr>
        <w:t>Section 11.04 Payment of Moneys Held by Paying Agents.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the satisfaction and discharge of this Indenture all moneys or Governmental Obligations then held by any paying agent under the provisions of this Indenture shall, upon demand of the Company, be paid to the Trustee and thereupon such paying agent shall be released from all further liability with respect to such moneys or Governmental Obligations.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188" w:name="a_0771"/>
      <w:bookmarkEnd w:id="188"/>
      <w:r>
        <w:rPr>
          <w:rFonts w:ascii="Times New Roman;Times;Serif" w:hAnsi="Times New Roman;Times;Serif"/>
          <w:b/>
          <w:i w:val="false"/>
          <w:caps w:val="false"/>
          <w:smallCaps w:val="false"/>
          <w:sz w:val="20"/>
        </w:rPr>
        <w:t>Section 11.05 Repayment to Company.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moneys or Governmental Obligations deposited with any paying agent or the Trustee, or then held by the Company, in trust for payment of principal of or premium, if any, or interest on the Securities of a particular series that are not applied but remain unclaimed by the holders of such Securities for at least two years after the date upon which the principal of (and premium, if any) or interest on such Securities shall have respectively become due and payable, or such other shorter period set forth in applicable escheat or abandoned or unclaimed property law, shall be repaid to the Company on May 31 of each year or upon the Company’s request or (if then held by the Company) shall be discharged from such trust; and thereupon the paying agent and the Trustee shall be released from all further liability with respect to such moneys or Governmental Obligations, and the holder of any of the Securities entitled to receive such payment shall thereafter, as a general creditor, look only to the Company for the payment thereof.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bookmarkStart w:id="189" w:name="a_0781"/>
      <w:bookmarkEnd w:id="189"/>
      <w:r>
        <w:rPr>
          <w:rFonts w:ascii="Times New Roman;Times;Serif" w:hAnsi="Times New Roman;Times;Serif"/>
          <w:b/>
          <w:i w:val="false"/>
          <w:caps w:val="false"/>
          <w:smallCaps w:val="false"/>
          <w:sz w:val="20"/>
        </w:rPr>
        <w:t>ARTICLE 12</w:t>
        <w:br/>
        <w:br/>
        <w:t>IMMUNITY OF INCORPORATORS, SHAREHOLDERS, OFFICERS AND DIRECTORS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bookmarkStart w:id="190" w:name="a_0791"/>
      <w:bookmarkEnd w:id="190"/>
      <w:r>
        <w:rPr>
          <w:rFonts w:ascii="Times New Roman;Times;Serif" w:hAnsi="Times New Roman;Times;Serif"/>
          <w:b/>
          <w:i w:val="false"/>
          <w:caps w:val="false"/>
          <w:smallCaps w:val="false"/>
          <w:sz w:val="20"/>
        </w:rPr>
        <w:t>Section 12.01 No Recourse.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recourse under or upon any obligation, covenant or agreement of this Indenture, or of any Security, or for any claim based thereon or otherwise in respect thereof, shall be had against any incorporator, shareholder, officer or director, past, present or future as such, of the Company or of any predecessor or successor corporation, either directly or through the Company or any such predecessor or successor corporation, whether by virtue of any constitution, statute or rule of law, or by the enforcement of any assessment or penalty or otherwise; it being expressly understood that this Indenture and the obligations issued hereunder are solely corporate obligations, and that no such personal liability whatever shall attach to, or is or shall be incurred by, the incorporators, shareholders, officers or directors as such, of the Company or of any predecessor or successor corporation, or any of them, because of the creation of the indebtedness hereby authorized, or under or by reason of the obligations, covenants or agreements contained in this Indenture or in any of the Securities or implied therefrom; and that any and all such personal liability of every name and nature, either at common law or in equity or by constitution or statute, of, and any and all such rights and claims against, every such incorporator, shareholder, officer or director as such, because of the creation of the indebtedness hereby authorized, or under or by reason of the obligations, covenants or agreements contained in this Indenture or in any of the Securities or implied therefrom, are hereby expressly waived and released as a condition of, and as a consideration for, the execution of this Indenture and the issuance of such Securities.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bdr w:val="single" w:sz="12" w:space="1" w:color="000000"/>
        </w:rPr>
      </w:pPr>
      <w:r>
        <w:rPr>
          <w:bdr w:val="single" w:sz="12" w:space="1" w:color="000000"/>
        </w:rPr>
        <w:t>35</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191" w:name="a_0801"/>
      <w:bookmarkEnd w:id="191"/>
      <w:r>
        <w:rPr>
          <w:rFonts w:ascii="Times New Roman;Times;Serif" w:hAnsi="Times New Roman;Times;Serif"/>
          <w:b/>
          <w:i w:val="false"/>
          <w:caps w:val="false"/>
          <w:smallCaps w:val="false"/>
          <w:sz w:val="20"/>
        </w:rPr>
        <w:t>ARTICLE 13</w:t>
        <w:br/>
        <w:br/>
        <w:t>MISCELLANEOUS PROVISIONS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bookmarkStart w:id="192" w:name="a_0811"/>
      <w:bookmarkEnd w:id="192"/>
      <w:r>
        <w:rPr>
          <w:rFonts w:ascii="Times New Roman;Times;Serif" w:hAnsi="Times New Roman;Times;Serif"/>
          <w:b/>
          <w:i w:val="false"/>
          <w:caps w:val="false"/>
          <w:smallCaps w:val="false"/>
          <w:sz w:val="20"/>
        </w:rPr>
        <w:t>Section 13.01 Effect on Successors and Assigns.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the covenants, stipulations, promises and agreements in this Indenture made by or on behalf of the Company shall bind its successors and assigns, whether so expressed or not.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193" w:name="a_0821"/>
      <w:bookmarkEnd w:id="193"/>
      <w:r>
        <w:rPr>
          <w:rFonts w:ascii="Times New Roman;Times;Serif" w:hAnsi="Times New Roman;Times;Serif"/>
          <w:b/>
          <w:i w:val="false"/>
          <w:caps w:val="false"/>
          <w:smallCaps w:val="false"/>
          <w:sz w:val="20"/>
        </w:rPr>
        <w:t>Section 13.02 Actions by Successor.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act or proceeding by any provision of this Indenture authorized or required to be done or performed by any board, committee or officer of the Company shall and may be done and performed with like force and effect by the corresponding board, committee or officer of any corporation that shall at the time be the lawful successor of the Company.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194" w:name="a_0831"/>
      <w:bookmarkEnd w:id="194"/>
      <w:r>
        <w:rPr>
          <w:rFonts w:ascii="Times New Roman;Times;Serif" w:hAnsi="Times New Roman;Times;Serif"/>
          <w:b/>
          <w:i w:val="false"/>
          <w:caps w:val="false"/>
          <w:smallCaps w:val="false"/>
          <w:sz w:val="20"/>
        </w:rPr>
        <w:t>Section 13.03 Surrender of Company Powers.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by instrument in writing executed by authority of its Board of Directors and delivered to the Trustee may surrender any of the powers reserved to the Company, and thereupon such power so surrendered shall terminate both as to the Company and as to any successor corporation.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bookmarkStart w:id="195" w:name="a_0841"/>
      <w:bookmarkEnd w:id="195"/>
      <w:r>
        <w:rPr>
          <w:rFonts w:ascii="Times New Roman;Times;Serif" w:hAnsi="Times New Roman;Times;Serif"/>
          <w:b/>
          <w:i w:val="false"/>
          <w:caps w:val="false"/>
          <w:smallCaps w:val="false"/>
          <w:sz w:val="20"/>
        </w:rPr>
        <w:t>Section 13.04 Notices.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Except as otherwise expressly provided herein, any notice, request or demand that by any provision of this Indenture is required or permitted to be given, made or served by the Trustee or by the holders of Securities or by any other Person pursuant to this Indenture to or on the Company may be given or served and shall be deemed to have been duly given or made on (a) delivery thereof, if by hand; (b) upon receipt, if sent by mail (registered or certified mail, postage prepaid, return receipt requested); (c) on the second Business Day following deposit, if sent by a recognized overnight delivery service; or (d) upon transmission, if sent by facsimile transmission (in each case with receipt verified by electronic confirmation), as follows: 116 Village Boulevard, Suite 200, Princeton, NJ 08540, with a copy which shall not constitute notice to Hunter Taubman Fischer &amp; Li, 950 Third Ave., 19</w:t>
      </w:r>
      <w:r>
        <w:rPr>
          <w:rFonts w:ascii="Times New Roman;Times;Serif" w:hAnsi="Times New Roman;Times;Serif"/>
          <w:b w:val="false"/>
          <w:i w:val="false"/>
          <w:caps w:val="false"/>
          <w:smallCaps w:val="false"/>
          <w:position w:val="7"/>
          <w:sz w:val="16"/>
          <w:sz w:val="20"/>
        </w:rPr>
        <w:t>th</w:t>
      </w:r>
      <w:r>
        <w:rPr>
          <w:rFonts w:ascii="Times New Roman;Times;Serif" w:hAnsi="Times New Roman;Times;Serif"/>
          <w:b w:val="false"/>
          <w:i w:val="false"/>
          <w:caps w:val="false"/>
          <w:smallCaps w:val="false"/>
          <w:sz w:val="20"/>
        </w:rPr>
        <w:t xml:space="preserve"> Floor, New York, New York 10022, Attn: Louis Taubman, Esq., facsimile number: (212)202-6380, email: ltaubman@htflawyers.com. Any notice, election, request or demand by the Company or any Securityholder or by any other Person pursuant to this Indenture to or upon the Trustee shall be deemed to have been sufficiently given or made, for all purposes, if given or made in writing at the Corporate Trust Office of the Trustee.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196" w:name="a_0851"/>
      <w:bookmarkEnd w:id="196"/>
      <w:r>
        <w:rPr>
          <w:rFonts w:ascii="Times New Roman;Times;Serif" w:hAnsi="Times New Roman;Times;Serif"/>
          <w:b/>
          <w:i w:val="false"/>
          <w:caps w:val="false"/>
          <w:smallCaps w:val="false"/>
          <w:sz w:val="20"/>
        </w:rPr>
        <w:t>Section 13.05 Governing Law.</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Indenture and each Security shall be deemed to be a contract made under the internal laws of the State of New York, and for all purposes shall be construed in accordance with the laws of said State, except to the extent that the Trust Indenture Act is applicable.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197" w:name="a_0861"/>
      <w:bookmarkEnd w:id="197"/>
      <w:r>
        <w:rPr>
          <w:rFonts w:ascii="Times New Roman;Times;Serif" w:hAnsi="Times New Roman;Times;Serif"/>
          <w:b/>
          <w:i w:val="false"/>
          <w:caps w:val="false"/>
          <w:smallCaps w:val="false"/>
          <w:sz w:val="20"/>
        </w:rPr>
        <w:t>Section 13.06 Treatment of Securities as Debt.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 is intended that the Securities will be treated as indebtedness and not as equity for federal income tax purposes. The provisions of this Indenture shall be interpreted to further this intention.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198" w:name="a_0871"/>
      <w:bookmarkEnd w:id="198"/>
      <w:r>
        <w:rPr>
          <w:rFonts w:ascii="Times New Roman;Times;Serif" w:hAnsi="Times New Roman;Times;Serif"/>
          <w:b/>
          <w:i w:val="false"/>
          <w:caps w:val="false"/>
          <w:smallCaps w:val="false"/>
          <w:sz w:val="20"/>
        </w:rPr>
        <w:t>Section 13.07 Certificates and Opinions as to Conditions Precedent.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Upon any application or demand by the Company to the Trustee to take any action under any of the provisions of this Indenture, the Company shall furnish to the Trustee an Officers’ Certificate stating that all conditions precedent provided for in this Indenture (other than the certificate to be delivered pursuant to Section 13.13) relating to the proposed action have been complied with and an Opinion of Counsel stating that in the opinion of such counsel all such conditions precedent have been complied with, except that in the case of any such application or demand as to which the furnishing of such documents is specifically required by any provision of this Indenture relating to such particular application or demand, no additional certificate or opinion need be furnished.</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center"/>
        <w:rPr>
          <w:bdr w:val="single" w:sz="12" w:space="1" w:color="000000"/>
        </w:rPr>
      </w:pPr>
      <w:r>
        <w:rPr>
          <w:bdr w:val="single" w:sz="12" w:space="1" w:color="000000"/>
        </w:rPr>
        <w:t>36</w:t>
      </w:r>
    </w:p>
    <w:p>
      <w:pPr>
        <w:pStyle w:val="TextBody"/>
        <w:bidi w:val="0"/>
        <w:spacing w:before="0" w:after="0"/>
        <w:ind w:left="0" w:right="0" w:hanging="0"/>
        <w:jc w:val="left"/>
        <w:rPr/>
      </w:pPr>
      <w:r>
        <w:rPr/>
        <w:t> </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Each certificate or opinion provided for in this Indenture and delivered to the Trustee with respect to compliance with a condition or covenant in this Indenture shall include (i) a statement that the Person making such certificate or opinion has read such covenant or condition; (ii) a brief statement as to the nature and scope of the examination or investigation upon which the statements or opinions contained in such certificate or opinion are based; (iii) a statement that, in the opinion of such Person, he has made such examination or investigation as is reasonably necessary to enable him to express an informed opinion as to whether or not such covenant or condition has been complied with; and (iv) a statement as to whether or not, in the opinion of such Person, such condition or covenant has been complied with.</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199" w:name="a_0881"/>
      <w:bookmarkEnd w:id="199"/>
      <w:r>
        <w:rPr>
          <w:rFonts w:ascii="Times New Roman;Times;Serif" w:hAnsi="Times New Roman;Times;Serif"/>
          <w:b/>
          <w:i w:val="false"/>
          <w:caps w:val="false"/>
          <w:smallCaps w:val="false"/>
          <w:sz w:val="20"/>
        </w:rPr>
        <w:t>Section 13.08 Payments on Business Days.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Except as provided pursuant to Section 2.01 pursuant to a Board Resolution, and set forth in an Officers’ Certificate, or established in one or more indentures supplemental to this Indenture, in any case where the date of maturity of interest or principal of any Security or the date of redemption of any Security shall not be a Business Day, then payment of interest or principal (and premium, if any) may be made on the next succeeding Business Day with the same force and effect as if made on the nominal date of maturity or redemption, and no interest shall accrue for the period after such nominal date.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200" w:name="a_0891"/>
      <w:bookmarkEnd w:id="200"/>
      <w:r>
        <w:rPr>
          <w:rFonts w:ascii="Times New Roman;Times;Serif" w:hAnsi="Times New Roman;Times;Serif"/>
          <w:b/>
          <w:i w:val="false"/>
          <w:caps w:val="false"/>
          <w:smallCaps w:val="false"/>
          <w:sz w:val="20"/>
        </w:rPr>
        <w:t>Section 13.09 Conflict with Trust Indenture Act.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and to the extent that any provision of this Indenture limits, qualifies or conflicts with the duties imposed by Sections 310 to 317, inclusive, of the Trust Indenture Act, such imposed duties shall control.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201" w:name="a_0901"/>
      <w:bookmarkEnd w:id="201"/>
      <w:r>
        <w:rPr>
          <w:rFonts w:ascii="Times New Roman;Times;Serif" w:hAnsi="Times New Roman;Times;Serif"/>
          <w:b/>
          <w:i w:val="false"/>
          <w:caps w:val="false"/>
          <w:smallCaps w:val="false"/>
          <w:sz w:val="20"/>
        </w:rPr>
        <w:t>Section 13.10 Indenture and Securities Solely Corporate Obligations.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recourse for the payment of the principal of, premium, if any, or interest on any Securities, or for any claim based thereon or otherwise in respect thereof, and no recourse under or upon any obligation, covenant or agreement of the Company in this Indenture or in any supplemental indenture or in any Security, or because of the creation of any indebtedness represented thereby, shall be had against any incorporator, shareholder, employee, agent, officer, director or subsidiary, as such, past, present or future, of the Company or of any successor entity, either directly or through the Company or any successor entity, whether by virtue of any constitution, statute, or rule of law, or by the enforcement of any assessment or penalty or otherwise; it being expressly understood that all such liability is hereby expressly waived and released as a condition of, and as a consideration for, the execution of this Indenture and the issuance of the Securities.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202" w:name="a_0911"/>
      <w:bookmarkEnd w:id="202"/>
      <w:r>
        <w:rPr>
          <w:rFonts w:ascii="Times New Roman;Times;Serif" w:hAnsi="Times New Roman;Times;Serif"/>
          <w:b/>
          <w:i w:val="false"/>
          <w:caps w:val="false"/>
          <w:smallCaps w:val="false"/>
          <w:sz w:val="20"/>
        </w:rPr>
        <w:t>Section 13.11 Counterparts.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Indenture may be executed in any number of counterparts, each of which shall be an original, but such counterparts shall together constitute but one and the same instrument.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bdr w:val="single" w:sz="12" w:space="1" w:color="000000"/>
        </w:rPr>
      </w:pPr>
      <w:r>
        <w:rPr>
          <w:bdr w:val="single" w:sz="12" w:space="1" w:color="000000"/>
        </w:rPr>
        <w:t>37</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bookmarkStart w:id="203" w:name="a_0921"/>
      <w:bookmarkEnd w:id="203"/>
      <w:r>
        <w:rPr>
          <w:rFonts w:ascii="Times New Roman;Times;Serif" w:hAnsi="Times New Roman;Times;Serif"/>
          <w:b/>
          <w:i w:val="false"/>
          <w:caps w:val="false"/>
          <w:smallCaps w:val="false"/>
          <w:sz w:val="20"/>
        </w:rPr>
        <w:t>Section 13.12 Separability.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case any one or more of the provisions contained in this Indenture or in the Securities of any series shall for any reason be held to be invalid, illegal or unenforceable in any respect, such invalidity, illegality or unenforceability shall not affect any other provisions of this Indenture or of such Securities, but this Indenture and such Securities shall be construed as if such invalid or illegal or unenforceable provision had never been contained herein or therein.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bookmarkStart w:id="204" w:name="a_0931"/>
      <w:bookmarkEnd w:id="204"/>
      <w:r>
        <w:rPr>
          <w:rFonts w:ascii="Times New Roman;Times;Serif" w:hAnsi="Times New Roman;Times;Serif"/>
          <w:b/>
          <w:i w:val="false"/>
          <w:caps w:val="false"/>
          <w:smallCaps w:val="false"/>
          <w:sz w:val="20"/>
        </w:rPr>
        <w:t>Section 13.13 Compliance Certificates.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shall deliver to the Trustee, within 120 days after the end of each fiscal year during which any Securities of any series were outstanding, a compliance certificate stating whether or not the signer knows of any Default or Event of Default that occurred during such fiscal year. Such certificate shall contain a certification from the principal executive officer, principal financial officer or principal accounting officer of the Company that a review has been conducted of the activities of the Company and the Company’s performance under this Indenture and that the Company has complied with all conditions and covenants under this Indenture. For purposes of this Section 13.13, such compliance shall be determined without regard to any period of grace or requirement of notice provided under this Indenture. If the officer of the Company signing such certificate has knowledge of such a Default or Event of Default, the certificate shall describe any such Default or Event of Default and its status.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205" w:name="a_094"/>
      <w:bookmarkEnd w:id="205"/>
      <w:r>
        <w:rPr>
          <w:rFonts w:ascii="Times New Roman;Times;Serif" w:hAnsi="Times New Roman;Times;Serif"/>
          <w:b/>
          <w:i w:val="false"/>
          <w:caps w:val="false"/>
          <w:smallCaps w:val="false"/>
          <w:sz w:val="20"/>
        </w:rPr>
        <w:t>ARTICLE 14</w:t>
        <w:br/>
        <w:br/>
        <w:t>SUBORDINATION OF SECURITIES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bookmarkStart w:id="206" w:name="a_095"/>
      <w:bookmarkEnd w:id="206"/>
      <w:r>
        <w:rPr>
          <w:rFonts w:ascii="Times New Roman;Times;Serif" w:hAnsi="Times New Roman;Times;Serif"/>
          <w:b/>
          <w:i w:val="false"/>
          <w:caps w:val="false"/>
          <w:smallCaps w:val="false"/>
          <w:sz w:val="20"/>
        </w:rPr>
        <w:t>Section 14.01 Subordination Terms.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payment by the Company of the principal of, premium, if any, and interest on any series of securities issued hereunder shall be subordinated to the extent set forth in an indenture supplemental hereto relating to such Securities.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bdr w:val="single" w:sz="12" w:space="1" w:color="000000"/>
        </w:rPr>
      </w:pPr>
      <w:r>
        <w:rPr>
          <w:bdr w:val="single" w:sz="12" w:space="1" w:color="000000"/>
        </w:rPr>
        <w:t>38</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WITNESS WHEREOF, the parties hereto have caused this Indenture to be duly executed all as of the day and year first above written.</w:t>
      </w:r>
    </w:p>
    <w:p>
      <w:pPr>
        <w:pStyle w:val="TextBody"/>
        <w:bidi w:val="0"/>
        <w:spacing w:before="0" w:after="0"/>
        <w:ind w:left="0" w:right="0" w:hanging="0"/>
        <w:jc w:val="left"/>
        <w:rPr>
          <w:caps w:val="false"/>
          <w:smallCaps w:val="false"/>
        </w:rPr>
      </w:pPr>
      <w:r>
        <w:rPr>
          <w:caps w:val="false"/>
          <w:smallCaps w:val="false"/>
        </w:rPr>
        <w:t> </w:t>
      </w:r>
    </w:p>
    <w:tbl>
      <w:tblPr>
        <w:tblW w:w="3184" w:type="dxa"/>
        <w:jc w:val="left"/>
        <w:tblInd w:w="0" w:type="dxa"/>
        <w:tblLayout w:type="fixed"/>
        <w:tblCellMar>
          <w:top w:w="0" w:type="dxa"/>
          <w:left w:w="0" w:type="dxa"/>
          <w:bottom w:w="0" w:type="dxa"/>
          <w:right w:w="0" w:type="dxa"/>
        </w:tblCellMar>
      </w:tblPr>
      <w:tblGrid>
        <w:gridCol w:w="75"/>
        <w:gridCol w:w="1178"/>
        <w:gridCol w:w="1931"/>
      </w:tblGrid>
      <w:tr>
        <w:trPr/>
        <w:tc>
          <w:tcPr>
            <w:tcW w:w="75" w:type="dxa"/>
            <w:tcBorders/>
            <w:vAlign w:val="center"/>
          </w:tcPr>
          <w:p>
            <w:pPr>
              <w:pStyle w:val="TableContents"/>
              <w:bidi w:val="0"/>
              <w:spacing w:before="0" w:after="283"/>
              <w:jc w:val="left"/>
              <w:rPr/>
            </w:pPr>
            <w:r>
              <w:rPr/>
              <w:t> </w:t>
            </w:r>
          </w:p>
        </w:tc>
        <w:tc>
          <w:tcPr>
            <w:tcW w:w="3109" w:type="dxa"/>
            <w:gridSpan w:val="2"/>
            <w:tcBorders/>
            <w:vAlign w:val="center"/>
          </w:tcPr>
          <w:p>
            <w:pPr>
              <w:pStyle w:val="TableContents"/>
              <w:bidi w:val="0"/>
              <w:spacing w:before="0" w:after="283"/>
              <w:jc w:val="left"/>
              <w:rPr>
                <w:b/>
              </w:rPr>
            </w:pPr>
            <w:r>
              <w:rPr>
                <w:b/>
              </w:rPr>
              <w:t>NIKI BIOSOLUTIONS, INC.</w:t>
            </w:r>
          </w:p>
        </w:tc>
      </w:tr>
      <w:tr>
        <w:trPr/>
        <w:tc>
          <w:tcPr>
            <w:tcW w:w="75" w:type="dxa"/>
            <w:tcBorders/>
            <w:vAlign w:val="center"/>
          </w:tcPr>
          <w:p>
            <w:pPr>
              <w:pStyle w:val="TableContents"/>
              <w:bidi w:val="0"/>
              <w:spacing w:before="0" w:after="283"/>
              <w:jc w:val="left"/>
              <w:rPr/>
            </w:pPr>
            <w:r>
              <w:rPr/>
              <w:t> </w:t>
            </w:r>
          </w:p>
        </w:tc>
        <w:tc>
          <w:tcPr>
            <w:tcW w:w="1178" w:type="dxa"/>
            <w:tcBorders/>
            <w:vAlign w:val="center"/>
          </w:tcPr>
          <w:p>
            <w:pPr>
              <w:pStyle w:val="TableContents"/>
              <w:bidi w:val="0"/>
              <w:spacing w:before="0" w:after="283"/>
              <w:jc w:val="left"/>
              <w:rPr/>
            </w:pPr>
            <w:r>
              <w:rPr/>
              <w:t> </w:t>
            </w:r>
          </w:p>
        </w:tc>
        <w:tc>
          <w:tcPr>
            <w:tcW w:w="1931"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1178"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1931" w:type="dxa"/>
            <w:tcBorders>
              <w:bottom w:val="single" w:sz="12" w:space="0" w:color="000000"/>
            </w:tcBorders>
            <w:tcMar>
              <w:bottom w:w="28" w:type="dxa"/>
            </w:tcMar>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1178"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Name:</w:t>
            </w:r>
          </w:p>
        </w:tc>
        <w:tc>
          <w:tcPr>
            <w:tcW w:w="1931"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1178"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Title:</w:t>
            </w:r>
          </w:p>
        </w:tc>
        <w:tc>
          <w:tcPr>
            <w:tcW w:w="1931"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3109" w:type="dxa"/>
            <w:gridSpan w:val="2"/>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3109" w:type="dxa"/>
            <w:gridSpan w:val="2"/>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b/>
                <w:sz w:val="20"/>
              </w:rPr>
              <w:t>[TRUSTEE], </w:t>
            </w:r>
            <w:r>
              <w:rPr>
                <w:rFonts w:ascii="Times New Roman;Times;Serif" w:hAnsi="Times New Roman;Times;Serif"/>
                <w:sz w:val="20"/>
              </w:rPr>
              <w:t>as Trustee</w:t>
            </w:r>
          </w:p>
        </w:tc>
      </w:tr>
      <w:tr>
        <w:trPr/>
        <w:tc>
          <w:tcPr>
            <w:tcW w:w="75" w:type="dxa"/>
            <w:tcBorders/>
            <w:vAlign w:val="center"/>
          </w:tcPr>
          <w:p>
            <w:pPr>
              <w:pStyle w:val="TableContents"/>
              <w:bidi w:val="0"/>
              <w:spacing w:before="0" w:after="283"/>
              <w:jc w:val="left"/>
              <w:rPr/>
            </w:pPr>
            <w:r>
              <w:rPr/>
              <w:t> </w:t>
            </w:r>
          </w:p>
        </w:tc>
        <w:tc>
          <w:tcPr>
            <w:tcW w:w="1178" w:type="dxa"/>
            <w:tcBorders/>
            <w:vAlign w:val="center"/>
          </w:tcPr>
          <w:p>
            <w:pPr>
              <w:pStyle w:val="TableContents"/>
              <w:bidi w:val="0"/>
              <w:spacing w:before="0" w:after="283"/>
              <w:jc w:val="left"/>
              <w:rPr/>
            </w:pPr>
            <w:r>
              <w:rPr/>
              <w:t> </w:t>
            </w:r>
          </w:p>
        </w:tc>
        <w:tc>
          <w:tcPr>
            <w:tcW w:w="1931"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1178"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1931" w:type="dxa"/>
            <w:tcBorders>
              <w:bottom w:val="single" w:sz="12" w:space="0" w:color="000000"/>
            </w:tcBorders>
            <w:tcMar>
              <w:bottom w:w="28" w:type="dxa"/>
            </w:tcMar>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1178"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Name:</w:t>
            </w:r>
          </w:p>
        </w:tc>
        <w:tc>
          <w:tcPr>
            <w:tcW w:w="1931"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1178"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Title:</w:t>
            </w:r>
          </w:p>
        </w:tc>
        <w:tc>
          <w:tcPr>
            <w:tcW w:w="1931"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bdr w:val="single" w:sz="12" w:space="1" w:color="000000"/>
        </w:rPr>
      </w:pPr>
      <w:r>
        <w:rPr>
          <w:bdr w:val="single" w:sz="12" w:space="1" w:color="000000"/>
        </w:rPr>
        <w:t>39</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CROSS-REFERENCE TABLE (1)</w:t>
      </w:r>
    </w:p>
    <w:p>
      <w:pPr>
        <w:pStyle w:val="TextBody"/>
        <w:bidi w:val="0"/>
        <w:spacing w:before="0" w:after="0"/>
        <w:ind w:left="0" w:right="0" w:hanging="0"/>
        <w:jc w:val="left"/>
        <w:rPr>
          <w:caps w:val="false"/>
          <w:smallCaps w:val="false"/>
        </w:rPr>
      </w:pPr>
      <w:r>
        <w:rPr>
          <w:caps w:val="false"/>
          <w:smallCaps w:val="false"/>
        </w:rPr>
        <w:t> </w:t>
      </w:r>
    </w:p>
    <w:tbl>
      <w:tblPr>
        <w:tblW w:w="6190" w:type="dxa"/>
        <w:jc w:val="left"/>
        <w:tblInd w:w="0" w:type="dxa"/>
        <w:tblLayout w:type="fixed"/>
        <w:tblCellMar>
          <w:top w:w="0" w:type="dxa"/>
          <w:left w:w="0" w:type="dxa"/>
          <w:bottom w:w="28" w:type="dxa"/>
          <w:right w:w="0" w:type="dxa"/>
        </w:tblCellMar>
      </w:tblPr>
      <w:tblGrid>
        <w:gridCol w:w="4400"/>
        <w:gridCol w:w="60"/>
        <w:gridCol w:w="1730"/>
      </w:tblGrid>
      <w:tr>
        <w:trPr/>
        <w:tc>
          <w:tcPr>
            <w:tcW w:w="4400" w:type="dxa"/>
            <w:tcBorders>
              <w:bottom w:val="single" w:sz="12" w:space="0" w:color="000000"/>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Section of Trust Indenture Act Of 1939, as Amended</w:t>
            </w:r>
          </w:p>
        </w:tc>
        <w:tc>
          <w:tcPr>
            <w:tcW w:w="60" w:type="dxa"/>
            <w:tcBorders/>
            <w:tcMar>
              <w:bottom w:w="0" w:type="dxa"/>
            </w:tcMar>
            <w:vAlign w:val="center"/>
          </w:tcPr>
          <w:p>
            <w:pPr>
              <w:pStyle w:val="TableContents"/>
              <w:bidi w:val="0"/>
              <w:spacing w:before="0" w:after="283"/>
              <w:jc w:val="left"/>
              <w:rPr/>
            </w:pPr>
            <w:r>
              <w:rPr/>
              <w:t> </w:t>
            </w:r>
          </w:p>
        </w:tc>
        <w:tc>
          <w:tcPr>
            <w:tcW w:w="1730" w:type="dxa"/>
            <w:tcBorders>
              <w:bottom w:val="single" w:sz="12" w:space="0" w:color="000000"/>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Section of Indenture</w:t>
            </w:r>
          </w:p>
        </w:tc>
      </w:tr>
      <w:tr>
        <w:trPr/>
        <w:tc>
          <w:tcPr>
            <w:tcW w:w="4400" w:type="dxa"/>
            <w:tcBorders/>
            <w:shd w:fill="CCEEFF" w:val="clear"/>
            <w:tcMar>
              <w:bottom w:w="0" w:type="dxa"/>
            </w:tcM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310(a)</w:t>
            </w:r>
          </w:p>
        </w:tc>
        <w:tc>
          <w:tcPr>
            <w:tcW w:w="60" w:type="dxa"/>
            <w:tcBorders/>
            <w:shd w:fill="CCEEFF" w:val="clear"/>
            <w:tcMar>
              <w:bottom w:w="0" w:type="dxa"/>
            </w:tcMar>
            <w:vAlign w:val="center"/>
          </w:tcPr>
          <w:p>
            <w:pPr>
              <w:pStyle w:val="TableContents"/>
              <w:bidi w:val="0"/>
              <w:spacing w:before="0" w:after="283"/>
              <w:jc w:val="left"/>
              <w:rPr/>
            </w:pPr>
            <w:r>
              <w:rPr/>
              <w:t> </w:t>
            </w:r>
          </w:p>
        </w:tc>
        <w:tc>
          <w:tcPr>
            <w:tcW w:w="1730" w:type="dxa"/>
            <w:tcBorders/>
            <w:shd w:fill="CCEEFF" w:val="clear"/>
            <w:tcMar>
              <w:bottom w:w="0" w:type="dxa"/>
            </w:tcM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7.09</w:t>
            </w:r>
          </w:p>
        </w:tc>
      </w:tr>
      <w:tr>
        <w:trPr/>
        <w:tc>
          <w:tcPr>
            <w:tcW w:w="4400" w:type="dxa"/>
            <w:tcBorders/>
            <w:tcMar>
              <w:bottom w:w="0" w:type="dxa"/>
            </w:tcM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310(b)</w:t>
            </w:r>
          </w:p>
        </w:tc>
        <w:tc>
          <w:tcPr>
            <w:tcW w:w="60" w:type="dxa"/>
            <w:tcBorders/>
            <w:tcMar>
              <w:bottom w:w="0" w:type="dxa"/>
            </w:tcMar>
            <w:vAlign w:val="center"/>
          </w:tcPr>
          <w:p>
            <w:pPr>
              <w:pStyle w:val="TableContents"/>
              <w:bidi w:val="0"/>
              <w:spacing w:before="0" w:after="283"/>
              <w:jc w:val="left"/>
              <w:rPr/>
            </w:pPr>
            <w:r>
              <w:rPr/>
              <w:t> </w:t>
            </w:r>
          </w:p>
        </w:tc>
        <w:tc>
          <w:tcPr>
            <w:tcW w:w="1730" w:type="dxa"/>
            <w:tcBorders/>
            <w:tcMar>
              <w:bottom w:w="0" w:type="dxa"/>
            </w:tcM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7.08</w:t>
            </w:r>
          </w:p>
        </w:tc>
      </w:tr>
      <w:tr>
        <w:trPr/>
        <w:tc>
          <w:tcPr>
            <w:tcW w:w="440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730" w:type="dxa"/>
            <w:tcBorders/>
            <w:shd w:fill="CCEEFF" w:val="clear"/>
            <w:tcMar>
              <w:bottom w:w="0" w:type="dxa"/>
            </w:tcM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7.10</w:t>
            </w:r>
          </w:p>
        </w:tc>
      </w:tr>
      <w:tr>
        <w:trPr/>
        <w:tc>
          <w:tcPr>
            <w:tcW w:w="4400" w:type="dxa"/>
            <w:tcBorders/>
            <w:tcMar>
              <w:bottom w:w="0" w:type="dxa"/>
            </w:tcM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310(c)</w:t>
            </w:r>
          </w:p>
        </w:tc>
        <w:tc>
          <w:tcPr>
            <w:tcW w:w="60" w:type="dxa"/>
            <w:tcBorders/>
            <w:tcMar>
              <w:bottom w:w="0" w:type="dxa"/>
            </w:tcMar>
            <w:vAlign w:val="center"/>
          </w:tcPr>
          <w:p>
            <w:pPr>
              <w:pStyle w:val="TableContents"/>
              <w:bidi w:val="0"/>
              <w:spacing w:before="0" w:after="283"/>
              <w:jc w:val="left"/>
              <w:rPr/>
            </w:pPr>
            <w:r>
              <w:rPr/>
              <w:t> </w:t>
            </w:r>
          </w:p>
        </w:tc>
        <w:tc>
          <w:tcPr>
            <w:tcW w:w="1730" w:type="dxa"/>
            <w:tcBorders/>
            <w:tcMar>
              <w:bottom w:w="0" w:type="dxa"/>
            </w:tcM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Inapplicable</w:t>
            </w:r>
          </w:p>
        </w:tc>
      </w:tr>
      <w:tr>
        <w:trPr/>
        <w:tc>
          <w:tcPr>
            <w:tcW w:w="4400" w:type="dxa"/>
            <w:tcBorders/>
            <w:shd w:fill="CCEEFF" w:val="clear"/>
            <w:tcMar>
              <w:bottom w:w="0" w:type="dxa"/>
            </w:tcM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311(a)</w:t>
            </w:r>
          </w:p>
        </w:tc>
        <w:tc>
          <w:tcPr>
            <w:tcW w:w="60" w:type="dxa"/>
            <w:tcBorders/>
            <w:shd w:fill="CCEEFF" w:val="clear"/>
            <w:tcMar>
              <w:bottom w:w="0" w:type="dxa"/>
            </w:tcMar>
            <w:vAlign w:val="center"/>
          </w:tcPr>
          <w:p>
            <w:pPr>
              <w:pStyle w:val="TableContents"/>
              <w:bidi w:val="0"/>
              <w:spacing w:before="0" w:after="283"/>
              <w:jc w:val="left"/>
              <w:rPr/>
            </w:pPr>
            <w:r>
              <w:rPr/>
              <w:t> </w:t>
            </w:r>
          </w:p>
        </w:tc>
        <w:tc>
          <w:tcPr>
            <w:tcW w:w="1730" w:type="dxa"/>
            <w:tcBorders/>
            <w:shd w:fill="CCEEFF" w:val="clear"/>
            <w:tcMar>
              <w:bottom w:w="0" w:type="dxa"/>
            </w:tcM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7.13</w:t>
            </w:r>
          </w:p>
        </w:tc>
      </w:tr>
      <w:tr>
        <w:trPr/>
        <w:tc>
          <w:tcPr>
            <w:tcW w:w="4400" w:type="dxa"/>
            <w:tcBorders/>
            <w:tcMar>
              <w:bottom w:w="0" w:type="dxa"/>
            </w:tcM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311(b)</w:t>
            </w:r>
          </w:p>
        </w:tc>
        <w:tc>
          <w:tcPr>
            <w:tcW w:w="60" w:type="dxa"/>
            <w:tcBorders/>
            <w:tcMar>
              <w:bottom w:w="0" w:type="dxa"/>
            </w:tcMar>
            <w:vAlign w:val="center"/>
          </w:tcPr>
          <w:p>
            <w:pPr>
              <w:pStyle w:val="TableContents"/>
              <w:bidi w:val="0"/>
              <w:spacing w:before="0" w:after="283"/>
              <w:jc w:val="left"/>
              <w:rPr/>
            </w:pPr>
            <w:r>
              <w:rPr/>
              <w:t> </w:t>
            </w:r>
          </w:p>
        </w:tc>
        <w:tc>
          <w:tcPr>
            <w:tcW w:w="1730" w:type="dxa"/>
            <w:tcBorders/>
            <w:tcMar>
              <w:bottom w:w="0" w:type="dxa"/>
            </w:tcM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7.13</w:t>
            </w:r>
          </w:p>
        </w:tc>
      </w:tr>
      <w:tr>
        <w:trPr/>
        <w:tc>
          <w:tcPr>
            <w:tcW w:w="4400" w:type="dxa"/>
            <w:tcBorders/>
            <w:shd w:fill="CCEEFF" w:val="clear"/>
            <w:tcMar>
              <w:bottom w:w="0" w:type="dxa"/>
            </w:tcM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311(c)</w:t>
            </w:r>
          </w:p>
        </w:tc>
        <w:tc>
          <w:tcPr>
            <w:tcW w:w="60" w:type="dxa"/>
            <w:tcBorders/>
            <w:shd w:fill="CCEEFF" w:val="clear"/>
            <w:tcMar>
              <w:bottom w:w="0" w:type="dxa"/>
            </w:tcMar>
            <w:vAlign w:val="center"/>
          </w:tcPr>
          <w:p>
            <w:pPr>
              <w:pStyle w:val="TableContents"/>
              <w:bidi w:val="0"/>
              <w:spacing w:before="0" w:after="283"/>
              <w:jc w:val="left"/>
              <w:rPr/>
            </w:pPr>
            <w:r>
              <w:rPr/>
              <w:t> </w:t>
            </w:r>
          </w:p>
        </w:tc>
        <w:tc>
          <w:tcPr>
            <w:tcW w:w="1730" w:type="dxa"/>
            <w:tcBorders/>
            <w:shd w:fill="CCEEFF" w:val="clear"/>
            <w:tcMar>
              <w:bottom w:w="0" w:type="dxa"/>
            </w:tcM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Inapplicable</w:t>
            </w:r>
          </w:p>
        </w:tc>
      </w:tr>
      <w:tr>
        <w:trPr/>
        <w:tc>
          <w:tcPr>
            <w:tcW w:w="4400" w:type="dxa"/>
            <w:tcBorders/>
            <w:tcMar>
              <w:bottom w:w="0" w:type="dxa"/>
            </w:tcM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312(a)</w:t>
            </w:r>
          </w:p>
        </w:tc>
        <w:tc>
          <w:tcPr>
            <w:tcW w:w="60" w:type="dxa"/>
            <w:tcBorders/>
            <w:tcMar>
              <w:bottom w:w="0" w:type="dxa"/>
            </w:tcMar>
            <w:vAlign w:val="center"/>
          </w:tcPr>
          <w:p>
            <w:pPr>
              <w:pStyle w:val="TableContents"/>
              <w:bidi w:val="0"/>
              <w:spacing w:before="0" w:after="283"/>
              <w:jc w:val="left"/>
              <w:rPr/>
            </w:pPr>
            <w:r>
              <w:rPr/>
              <w:t> </w:t>
            </w:r>
          </w:p>
        </w:tc>
        <w:tc>
          <w:tcPr>
            <w:tcW w:w="1730" w:type="dxa"/>
            <w:tcBorders/>
            <w:tcMar>
              <w:bottom w:w="0" w:type="dxa"/>
            </w:tcM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5.01</w:t>
            </w:r>
          </w:p>
        </w:tc>
      </w:tr>
      <w:tr>
        <w:trPr/>
        <w:tc>
          <w:tcPr>
            <w:tcW w:w="440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730" w:type="dxa"/>
            <w:tcBorders/>
            <w:shd w:fill="CCEEFF" w:val="clear"/>
            <w:tcMar>
              <w:bottom w:w="0" w:type="dxa"/>
            </w:tcM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5.02(a)</w:t>
            </w:r>
          </w:p>
        </w:tc>
      </w:tr>
      <w:tr>
        <w:trPr/>
        <w:tc>
          <w:tcPr>
            <w:tcW w:w="4400" w:type="dxa"/>
            <w:tcBorders/>
            <w:tcMar>
              <w:bottom w:w="0" w:type="dxa"/>
            </w:tcM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312(b)</w:t>
            </w:r>
          </w:p>
        </w:tc>
        <w:tc>
          <w:tcPr>
            <w:tcW w:w="60" w:type="dxa"/>
            <w:tcBorders/>
            <w:tcMar>
              <w:bottom w:w="0" w:type="dxa"/>
            </w:tcMar>
            <w:vAlign w:val="center"/>
          </w:tcPr>
          <w:p>
            <w:pPr>
              <w:pStyle w:val="TableContents"/>
              <w:bidi w:val="0"/>
              <w:spacing w:before="0" w:after="283"/>
              <w:jc w:val="left"/>
              <w:rPr/>
            </w:pPr>
            <w:r>
              <w:rPr/>
              <w:t> </w:t>
            </w:r>
          </w:p>
        </w:tc>
        <w:tc>
          <w:tcPr>
            <w:tcW w:w="1730" w:type="dxa"/>
            <w:tcBorders/>
            <w:tcMar>
              <w:bottom w:w="0" w:type="dxa"/>
            </w:tcM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5.02(c)</w:t>
            </w:r>
          </w:p>
        </w:tc>
      </w:tr>
      <w:tr>
        <w:trPr/>
        <w:tc>
          <w:tcPr>
            <w:tcW w:w="4400" w:type="dxa"/>
            <w:tcBorders/>
            <w:shd w:fill="CCEEFF" w:val="clear"/>
            <w:tcMar>
              <w:bottom w:w="0" w:type="dxa"/>
            </w:tcM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312(c)</w:t>
            </w:r>
          </w:p>
        </w:tc>
        <w:tc>
          <w:tcPr>
            <w:tcW w:w="60" w:type="dxa"/>
            <w:tcBorders/>
            <w:shd w:fill="CCEEFF" w:val="clear"/>
            <w:tcMar>
              <w:bottom w:w="0" w:type="dxa"/>
            </w:tcMar>
            <w:vAlign w:val="center"/>
          </w:tcPr>
          <w:p>
            <w:pPr>
              <w:pStyle w:val="TableContents"/>
              <w:bidi w:val="0"/>
              <w:spacing w:before="0" w:after="283"/>
              <w:jc w:val="left"/>
              <w:rPr/>
            </w:pPr>
            <w:r>
              <w:rPr/>
              <w:t> </w:t>
            </w:r>
          </w:p>
        </w:tc>
        <w:tc>
          <w:tcPr>
            <w:tcW w:w="1730" w:type="dxa"/>
            <w:tcBorders/>
            <w:shd w:fill="CCEEFF" w:val="clear"/>
            <w:tcMar>
              <w:bottom w:w="0" w:type="dxa"/>
            </w:tcM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5.02(c)</w:t>
            </w:r>
          </w:p>
        </w:tc>
      </w:tr>
      <w:tr>
        <w:trPr/>
        <w:tc>
          <w:tcPr>
            <w:tcW w:w="4400" w:type="dxa"/>
            <w:tcBorders/>
            <w:tcMar>
              <w:bottom w:w="0" w:type="dxa"/>
            </w:tcM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313(a)</w:t>
            </w:r>
          </w:p>
        </w:tc>
        <w:tc>
          <w:tcPr>
            <w:tcW w:w="60" w:type="dxa"/>
            <w:tcBorders/>
            <w:tcMar>
              <w:bottom w:w="0" w:type="dxa"/>
            </w:tcMar>
            <w:vAlign w:val="center"/>
          </w:tcPr>
          <w:p>
            <w:pPr>
              <w:pStyle w:val="TableContents"/>
              <w:bidi w:val="0"/>
              <w:spacing w:before="0" w:after="283"/>
              <w:jc w:val="left"/>
              <w:rPr/>
            </w:pPr>
            <w:r>
              <w:rPr/>
              <w:t> </w:t>
            </w:r>
          </w:p>
        </w:tc>
        <w:tc>
          <w:tcPr>
            <w:tcW w:w="1730" w:type="dxa"/>
            <w:tcBorders/>
            <w:tcMar>
              <w:bottom w:w="0" w:type="dxa"/>
            </w:tcM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5.04(a)</w:t>
            </w:r>
          </w:p>
        </w:tc>
      </w:tr>
      <w:tr>
        <w:trPr/>
        <w:tc>
          <w:tcPr>
            <w:tcW w:w="4400" w:type="dxa"/>
            <w:tcBorders/>
            <w:shd w:fill="CCEEFF" w:val="clear"/>
            <w:tcMar>
              <w:bottom w:w="0" w:type="dxa"/>
            </w:tcM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313(b)</w:t>
            </w:r>
          </w:p>
        </w:tc>
        <w:tc>
          <w:tcPr>
            <w:tcW w:w="60" w:type="dxa"/>
            <w:tcBorders/>
            <w:shd w:fill="CCEEFF" w:val="clear"/>
            <w:tcMar>
              <w:bottom w:w="0" w:type="dxa"/>
            </w:tcMar>
            <w:vAlign w:val="center"/>
          </w:tcPr>
          <w:p>
            <w:pPr>
              <w:pStyle w:val="TableContents"/>
              <w:bidi w:val="0"/>
              <w:spacing w:before="0" w:after="283"/>
              <w:jc w:val="left"/>
              <w:rPr/>
            </w:pPr>
            <w:r>
              <w:rPr/>
              <w:t> </w:t>
            </w:r>
          </w:p>
        </w:tc>
        <w:tc>
          <w:tcPr>
            <w:tcW w:w="1730" w:type="dxa"/>
            <w:tcBorders/>
            <w:shd w:fill="CCEEFF" w:val="clear"/>
            <w:tcMar>
              <w:bottom w:w="0" w:type="dxa"/>
            </w:tcM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5.04(b)</w:t>
            </w:r>
          </w:p>
        </w:tc>
      </w:tr>
      <w:tr>
        <w:trPr/>
        <w:tc>
          <w:tcPr>
            <w:tcW w:w="4400" w:type="dxa"/>
            <w:tcBorders/>
            <w:tcMar>
              <w:bottom w:w="0" w:type="dxa"/>
            </w:tcM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313(c)</w:t>
            </w:r>
          </w:p>
        </w:tc>
        <w:tc>
          <w:tcPr>
            <w:tcW w:w="60" w:type="dxa"/>
            <w:tcBorders/>
            <w:tcMar>
              <w:bottom w:w="0" w:type="dxa"/>
            </w:tcMar>
            <w:vAlign w:val="center"/>
          </w:tcPr>
          <w:p>
            <w:pPr>
              <w:pStyle w:val="TableContents"/>
              <w:bidi w:val="0"/>
              <w:spacing w:before="0" w:after="283"/>
              <w:jc w:val="left"/>
              <w:rPr/>
            </w:pPr>
            <w:r>
              <w:rPr/>
              <w:t> </w:t>
            </w:r>
          </w:p>
        </w:tc>
        <w:tc>
          <w:tcPr>
            <w:tcW w:w="1730" w:type="dxa"/>
            <w:tcBorders/>
            <w:tcMar>
              <w:bottom w:w="0" w:type="dxa"/>
            </w:tcM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5.04(a)</w:t>
            </w:r>
          </w:p>
        </w:tc>
      </w:tr>
      <w:tr>
        <w:trPr/>
        <w:tc>
          <w:tcPr>
            <w:tcW w:w="440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730" w:type="dxa"/>
            <w:tcBorders/>
            <w:shd w:fill="CCEEFF" w:val="clear"/>
            <w:tcMar>
              <w:bottom w:w="0" w:type="dxa"/>
            </w:tcM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5.04(b)</w:t>
            </w:r>
          </w:p>
        </w:tc>
      </w:tr>
      <w:tr>
        <w:trPr/>
        <w:tc>
          <w:tcPr>
            <w:tcW w:w="4400" w:type="dxa"/>
            <w:tcBorders/>
            <w:tcMar>
              <w:bottom w:w="0" w:type="dxa"/>
            </w:tcM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313(d)</w:t>
            </w:r>
          </w:p>
        </w:tc>
        <w:tc>
          <w:tcPr>
            <w:tcW w:w="60" w:type="dxa"/>
            <w:tcBorders/>
            <w:tcMar>
              <w:bottom w:w="0" w:type="dxa"/>
            </w:tcMar>
            <w:vAlign w:val="center"/>
          </w:tcPr>
          <w:p>
            <w:pPr>
              <w:pStyle w:val="TableContents"/>
              <w:bidi w:val="0"/>
              <w:spacing w:before="0" w:after="283"/>
              <w:jc w:val="left"/>
              <w:rPr/>
            </w:pPr>
            <w:r>
              <w:rPr/>
              <w:t> </w:t>
            </w:r>
          </w:p>
        </w:tc>
        <w:tc>
          <w:tcPr>
            <w:tcW w:w="1730" w:type="dxa"/>
            <w:tcBorders/>
            <w:tcMar>
              <w:bottom w:w="0" w:type="dxa"/>
            </w:tcM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5.04(c)</w:t>
            </w:r>
          </w:p>
        </w:tc>
      </w:tr>
      <w:tr>
        <w:trPr/>
        <w:tc>
          <w:tcPr>
            <w:tcW w:w="4400" w:type="dxa"/>
            <w:tcBorders/>
            <w:shd w:fill="CCEEFF" w:val="clear"/>
            <w:tcMar>
              <w:bottom w:w="0" w:type="dxa"/>
            </w:tcM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314(a)</w:t>
            </w:r>
          </w:p>
        </w:tc>
        <w:tc>
          <w:tcPr>
            <w:tcW w:w="60" w:type="dxa"/>
            <w:tcBorders/>
            <w:shd w:fill="CCEEFF" w:val="clear"/>
            <w:tcMar>
              <w:bottom w:w="0" w:type="dxa"/>
            </w:tcMar>
            <w:vAlign w:val="center"/>
          </w:tcPr>
          <w:p>
            <w:pPr>
              <w:pStyle w:val="TableContents"/>
              <w:bidi w:val="0"/>
              <w:spacing w:before="0" w:after="283"/>
              <w:jc w:val="left"/>
              <w:rPr/>
            </w:pPr>
            <w:r>
              <w:rPr/>
              <w:t> </w:t>
            </w:r>
          </w:p>
        </w:tc>
        <w:tc>
          <w:tcPr>
            <w:tcW w:w="1730" w:type="dxa"/>
            <w:tcBorders/>
            <w:shd w:fill="CCEEFF" w:val="clear"/>
            <w:tcMar>
              <w:bottom w:w="0" w:type="dxa"/>
            </w:tcM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5.03</w:t>
            </w:r>
          </w:p>
        </w:tc>
      </w:tr>
      <w:tr>
        <w:trPr/>
        <w:tc>
          <w:tcPr>
            <w:tcW w:w="440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730" w:type="dxa"/>
            <w:tcBorders/>
            <w:tcMar>
              <w:bottom w:w="0" w:type="dxa"/>
            </w:tcM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13.12</w:t>
            </w:r>
          </w:p>
        </w:tc>
      </w:tr>
      <w:tr>
        <w:trPr/>
        <w:tc>
          <w:tcPr>
            <w:tcW w:w="4400" w:type="dxa"/>
            <w:tcBorders/>
            <w:shd w:fill="CCEEFF" w:val="clear"/>
            <w:tcMar>
              <w:bottom w:w="0" w:type="dxa"/>
            </w:tcM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314(b)</w:t>
            </w:r>
          </w:p>
        </w:tc>
        <w:tc>
          <w:tcPr>
            <w:tcW w:w="60" w:type="dxa"/>
            <w:tcBorders/>
            <w:shd w:fill="CCEEFF" w:val="clear"/>
            <w:tcMar>
              <w:bottom w:w="0" w:type="dxa"/>
            </w:tcMar>
            <w:vAlign w:val="center"/>
          </w:tcPr>
          <w:p>
            <w:pPr>
              <w:pStyle w:val="TableContents"/>
              <w:bidi w:val="0"/>
              <w:spacing w:before="0" w:after="283"/>
              <w:jc w:val="left"/>
              <w:rPr/>
            </w:pPr>
            <w:r>
              <w:rPr/>
              <w:t> </w:t>
            </w:r>
          </w:p>
        </w:tc>
        <w:tc>
          <w:tcPr>
            <w:tcW w:w="1730" w:type="dxa"/>
            <w:tcBorders/>
            <w:shd w:fill="CCEEFF" w:val="clear"/>
            <w:tcMar>
              <w:bottom w:w="0" w:type="dxa"/>
            </w:tcM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Inapplicable</w:t>
            </w:r>
          </w:p>
        </w:tc>
      </w:tr>
      <w:tr>
        <w:trPr/>
        <w:tc>
          <w:tcPr>
            <w:tcW w:w="4400" w:type="dxa"/>
            <w:tcBorders/>
            <w:tcMar>
              <w:bottom w:w="0" w:type="dxa"/>
            </w:tcM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314(c)</w:t>
            </w:r>
          </w:p>
        </w:tc>
        <w:tc>
          <w:tcPr>
            <w:tcW w:w="60" w:type="dxa"/>
            <w:tcBorders/>
            <w:tcMar>
              <w:bottom w:w="0" w:type="dxa"/>
            </w:tcMar>
            <w:vAlign w:val="center"/>
          </w:tcPr>
          <w:p>
            <w:pPr>
              <w:pStyle w:val="TableContents"/>
              <w:bidi w:val="0"/>
              <w:spacing w:before="0" w:after="283"/>
              <w:jc w:val="left"/>
              <w:rPr/>
            </w:pPr>
            <w:r>
              <w:rPr/>
              <w:t> </w:t>
            </w:r>
          </w:p>
        </w:tc>
        <w:tc>
          <w:tcPr>
            <w:tcW w:w="1730" w:type="dxa"/>
            <w:tcBorders/>
            <w:tcMar>
              <w:bottom w:w="0" w:type="dxa"/>
            </w:tcM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13.07(a)</w:t>
            </w:r>
          </w:p>
        </w:tc>
      </w:tr>
      <w:tr>
        <w:trPr/>
        <w:tc>
          <w:tcPr>
            <w:tcW w:w="4400" w:type="dxa"/>
            <w:tcBorders/>
            <w:shd w:fill="CCEEFF" w:val="clear"/>
            <w:tcMar>
              <w:bottom w:w="0" w:type="dxa"/>
            </w:tcM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314(d)</w:t>
            </w:r>
          </w:p>
        </w:tc>
        <w:tc>
          <w:tcPr>
            <w:tcW w:w="60" w:type="dxa"/>
            <w:tcBorders/>
            <w:shd w:fill="CCEEFF" w:val="clear"/>
            <w:tcMar>
              <w:bottom w:w="0" w:type="dxa"/>
            </w:tcMar>
            <w:vAlign w:val="center"/>
          </w:tcPr>
          <w:p>
            <w:pPr>
              <w:pStyle w:val="TableContents"/>
              <w:bidi w:val="0"/>
              <w:spacing w:before="0" w:after="283"/>
              <w:jc w:val="left"/>
              <w:rPr/>
            </w:pPr>
            <w:r>
              <w:rPr/>
              <w:t> </w:t>
            </w:r>
          </w:p>
        </w:tc>
        <w:tc>
          <w:tcPr>
            <w:tcW w:w="1730" w:type="dxa"/>
            <w:tcBorders/>
            <w:shd w:fill="CCEEFF" w:val="clear"/>
            <w:tcMar>
              <w:bottom w:w="0" w:type="dxa"/>
            </w:tcM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Inapplicable</w:t>
            </w:r>
          </w:p>
        </w:tc>
      </w:tr>
      <w:tr>
        <w:trPr/>
        <w:tc>
          <w:tcPr>
            <w:tcW w:w="4400" w:type="dxa"/>
            <w:tcBorders/>
            <w:tcMar>
              <w:bottom w:w="0" w:type="dxa"/>
            </w:tcM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314(e)</w:t>
            </w:r>
          </w:p>
        </w:tc>
        <w:tc>
          <w:tcPr>
            <w:tcW w:w="60" w:type="dxa"/>
            <w:tcBorders/>
            <w:tcMar>
              <w:bottom w:w="0" w:type="dxa"/>
            </w:tcMar>
            <w:vAlign w:val="center"/>
          </w:tcPr>
          <w:p>
            <w:pPr>
              <w:pStyle w:val="TableContents"/>
              <w:bidi w:val="0"/>
              <w:spacing w:before="0" w:after="283"/>
              <w:jc w:val="left"/>
              <w:rPr/>
            </w:pPr>
            <w:r>
              <w:rPr/>
              <w:t> </w:t>
            </w:r>
          </w:p>
        </w:tc>
        <w:tc>
          <w:tcPr>
            <w:tcW w:w="1730" w:type="dxa"/>
            <w:tcBorders/>
            <w:tcMar>
              <w:bottom w:w="0" w:type="dxa"/>
            </w:tcM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13.07(b)</w:t>
            </w:r>
          </w:p>
        </w:tc>
      </w:tr>
      <w:tr>
        <w:trPr/>
        <w:tc>
          <w:tcPr>
            <w:tcW w:w="4400" w:type="dxa"/>
            <w:tcBorders/>
            <w:shd w:fill="CCEEFF" w:val="clear"/>
            <w:tcMar>
              <w:bottom w:w="0" w:type="dxa"/>
            </w:tcM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314(f)</w:t>
            </w:r>
          </w:p>
        </w:tc>
        <w:tc>
          <w:tcPr>
            <w:tcW w:w="60" w:type="dxa"/>
            <w:tcBorders/>
            <w:shd w:fill="CCEEFF" w:val="clear"/>
            <w:tcMar>
              <w:bottom w:w="0" w:type="dxa"/>
            </w:tcMar>
            <w:vAlign w:val="center"/>
          </w:tcPr>
          <w:p>
            <w:pPr>
              <w:pStyle w:val="TableContents"/>
              <w:bidi w:val="0"/>
              <w:spacing w:before="0" w:after="283"/>
              <w:jc w:val="left"/>
              <w:rPr/>
            </w:pPr>
            <w:r>
              <w:rPr/>
              <w:t> </w:t>
            </w:r>
          </w:p>
        </w:tc>
        <w:tc>
          <w:tcPr>
            <w:tcW w:w="1730" w:type="dxa"/>
            <w:tcBorders/>
            <w:shd w:fill="CCEEFF" w:val="clear"/>
            <w:tcMar>
              <w:bottom w:w="0" w:type="dxa"/>
            </w:tcM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Inapplicable</w:t>
            </w:r>
          </w:p>
        </w:tc>
      </w:tr>
      <w:tr>
        <w:trPr/>
        <w:tc>
          <w:tcPr>
            <w:tcW w:w="4400" w:type="dxa"/>
            <w:tcBorders/>
            <w:tcMar>
              <w:bottom w:w="0" w:type="dxa"/>
            </w:tcM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315(a)</w:t>
            </w:r>
          </w:p>
        </w:tc>
        <w:tc>
          <w:tcPr>
            <w:tcW w:w="60" w:type="dxa"/>
            <w:tcBorders/>
            <w:tcMar>
              <w:bottom w:w="0" w:type="dxa"/>
            </w:tcMar>
            <w:vAlign w:val="center"/>
          </w:tcPr>
          <w:p>
            <w:pPr>
              <w:pStyle w:val="TableContents"/>
              <w:bidi w:val="0"/>
              <w:spacing w:before="0" w:after="283"/>
              <w:jc w:val="left"/>
              <w:rPr/>
            </w:pPr>
            <w:r>
              <w:rPr/>
              <w:t> </w:t>
            </w:r>
          </w:p>
        </w:tc>
        <w:tc>
          <w:tcPr>
            <w:tcW w:w="1730" w:type="dxa"/>
            <w:tcBorders/>
            <w:tcMar>
              <w:bottom w:w="0" w:type="dxa"/>
            </w:tcM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7.01(a)</w:t>
            </w:r>
          </w:p>
        </w:tc>
      </w:tr>
      <w:tr>
        <w:trPr/>
        <w:tc>
          <w:tcPr>
            <w:tcW w:w="440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730" w:type="dxa"/>
            <w:tcBorders/>
            <w:shd w:fill="CCEEFF" w:val="clear"/>
            <w:tcMar>
              <w:bottom w:w="0" w:type="dxa"/>
            </w:tcM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7.01(b)</w:t>
            </w:r>
          </w:p>
        </w:tc>
      </w:tr>
      <w:tr>
        <w:trPr/>
        <w:tc>
          <w:tcPr>
            <w:tcW w:w="4400" w:type="dxa"/>
            <w:tcBorders/>
            <w:tcMar>
              <w:bottom w:w="0" w:type="dxa"/>
            </w:tcM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315(b)</w:t>
            </w:r>
          </w:p>
        </w:tc>
        <w:tc>
          <w:tcPr>
            <w:tcW w:w="60" w:type="dxa"/>
            <w:tcBorders/>
            <w:tcMar>
              <w:bottom w:w="0" w:type="dxa"/>
            </w:tcMar>
            <w:vAlign w:val="center"/>
          </w:tcPr>
          <w:p>
            <w:pPr>
              <w:pStyle w:val="TableContents"/>
              <w:bidi w:val="0"/>
              <w:spacing w:before="0" w:after="283"/>
              <w:jc w:val="left"/>
              <w:rPr/>
            </w:pPr>
            <w:r>
              <w:rPr/>
              <w:t> </w:t>
            </w:r>
          </w:p>
        </w:tc>
        <w:tc>
          <w:tcPr>
            <w:tcW w:w="1730" w:type="dxa"/>
            <w:tcBorders/>
            <w:tcMar>
              <w:bottom w:w="0" w:type="dxa"/>
            </w:tcM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7.14</w:t>
            </w:r>
          </w:p>
        </w:tc>
      </w:tr>
      <w:tr>
        <w:trPr/>
        <w:tc>
          <w:tcPr>
            <w:tcW w:w="4400" w:type="dxa"/>
            <w:tcBorders/>
            <w:shd w:fill="CCEEFF" w:val="clear"/>
            <w:tcMar>
              <w:bottom w:w="0" w:type="dxa"/>
            </w:tcM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315(c)</w:t>
            </w:r>
          </w:p>
        </w:tc>
        <w:tc>
          <w:tcPr>
            <w:tcW w:w="60" w:type="dxa"/>
            <w:tcBorders/>
            <w:shd w:fill="CCEEFF" w:val="clear"/>
            <w:tcMar>
              <w:bottom w:w="0" w:type="dxa"/>
            </w:tcMar>
            <w:vAlign w:val="center"/>
          </w:tcPr>
          <w:p>
            <w:pPr>
              <w:pStyle w:val="TableContents"/>
              <w:bidi w:val="0"/>
              <w:spacing w:before="0" w:after="283"/>
              <w:jc w:val="left"/>
              <w:rPr/>
            </w:pPr>
            <w:r>
              <w:rPr/>
              <w:t> </w:t>
            </w:r>
          </w:p>
        </w:tc>
        <w:tc>
          <w:tcPr>
            <w:tcW w:w="1730" w:type="dxa"/>
            <w:tcBorders/>
            <w:shd w:fill="CCEEFF" w:val="clear"/>
            <w:tcMar>
              <w:bottom w:w="0" w:type="dxa"/>
            </w:tcM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7.01</w:t>
            </w:r>
          </w:p>
        </w:tc>
      </w:tr>
      <w:tr>
        <w:trPr/>
        <w:tc>
          <w:tcPr>
            <w:tcW w:w="4400" w:type="dxa"/>
            <w:tcBorders/>
            <w:tcMar>
              <w:bottom w:w="0" w:type="dxa"/>
            </w:tcM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315(d)</w:t>
            </w:r>
          </w:p>
        </w:tc>
        <w:tc>
          <w:tcPr>
            <w:tcW w:w="60" w:type="dxa"/>
            <w:tcBorders/>
            <w:tcMar>
              <w:bottom w:w="0" w:type="dxa"/>
            </w:tcMar>
            <w:vAlign w:val="center"/>
          </w:tcPr>
          <w:p>
            <w:pPr>
              <w:pStyle w:val="TableContents"/>
              <w:bidi w:val="0"/>
              <w:spacing w:before="0" w:after="283"/>
              <w:jc w:val="left"/>
              <w:rPr/>
            </w:pPr>
            <w:r>
              <w:rPr/>
              <w:t> </w:t>
            </w:r>
          </w:p>
        </w:tc>
        <w:tc>
          <w:tcPr>
            <w:tcW w:w="1730" w:type="dxa"/>
            <w:tcBorders/>
            <w:tcMar>
              <w:bottom w:w="0" w:type="dxa"/>
            </w:tcM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7.01(b)</w:t>
            </w:r>
          </w:p>
        </w:tc>
      </w:tr>
      <w:tr>
        <w:trPr/>
        <w:tc>
          <w:tcPr>
            <w:tcW w:w="4400" w:type="dxa"/>
            <w:tcBorders/>
            <w:shd w:fill="CCEEFF" w:val="clear"/>
            <w:tcMar>
              <w:bottom w:w="0" w:type="dxa"/>
            </w:tcM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315(e)</w:t>
            </w:r>
          </w:p>
        </w:tc>
        <w:tc>
          <w:tcPr>
            <w:tcW w:w="60" w:type="dxa"/>
            <w:tcBorders/>
            <w:shd w:fill="CCEEFF" w:val="clear"/>
            <w:tcMar>
              <w:bottom w:w="0" w:type="dxa"/>
            </w:tcMar>
            <w:vAlign w:val="center"/>
          </w:tcPr>
          <w:p>
            <w:pPr>
              <w:pStyle w:val="TableContents"/>
              <w:bidi w:val="0"/>
              <w:spacing w:before="0" w:after="283"/>
              <w:jc w:val="left"/>
              <w:rPr/>
            </w:pPr>
            <w:r>
              <w:rPr/>
              <w:t> </w:t>
            </w:r>
          </w:p>
        </w:tc>
        <w:tc>
          <w:tcPr>
            <w:tcW w:w="1730" w:type="dxa"/>
            <w:tcBorders/>
            <w:shd w:fill="CCEEFF" w:val="clear"/>
            <w:tcMar>
              <w:bottom w:w="0" w:type="dxa"/>
            </w:tcM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6.07</w:t>
            </w:r>
          </w:p>
        </w:tc>
      </w:tr>
      <w:tr>
        <w:trPr/>
        <w:tc>
          <w:tcPr>
            <w:tcW w:w="4400" w:type="dxa"/>
            <w:tcBorders/>
            <w:tcMar>
              <w:bottom w:w="0" w:type="dxa"/>
            </w:tcM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316(a)</w:t>
            </w:r>
          </w:p>
        </w:tc>
        <w:tc>
          <w:tcPr>
            <w:tcW w:w="60" w:type="dxa"/>
            <w:tcBorders/>
            <w:tcMar>
              <w:bottom w:w="0" w:type="dxa"/>
            </w:tcMar>
            <w:vAlign w:val="center"/>
          </w:tcPr>
          <w:p>
            <w:pPr>
              <w:pStyle w:val="TableContents"/>
              <w:bidi w:val="0"/>
              <w:spacing w:before="0" w:after="283"/>
              <w:jc w:val="left"/>
              <w:rPr/>
            </w:pPr>
            <w:r>
              <w:rPr/>
              <w:t> </w:t>
            </w:r>
          </w:p>
        </w:tc>
        <w:tc>
          <w:tcPr>
            <w:tcW w:w="1730" w:type="dxa"/>
            <w:tcBorders/>
            <w:tcMar>
              <w:bottom w:w="0" w:type="dxa"/>
            </w:tcM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6.06</w:t>
            </w:r>
          </w:p>
        </w:tc>
      </w:tr>
      <w:tr>
        <w:trPr/>
        <w:tc>
          <w:tcPr>
            <w:tcW w:w="440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730" w:type="dxa"/>
            <w:tcBorders/>
            <w:shd w:fill="CCEEFF" w:val="clear"/>
            <w:tcMar>
              <w:bottom w:w="0" w:type="dxa"/>
            </w:tcM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8.04</w:t>
            </w:r>
          </w:p>
        </w:tc>
      </w:tr>
      <w:tr>
        <w:trPr/>
        <w:tc>
          <w:tcPr>
            <w:tcW w:w="4400" w:type="dxa"/>
            <w:tcBorders/>
            <w:tcMar>
              <w:bottom w:w="0" w:type="dxa"/>
            </w:tcM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316(b)</w:t>
            </w:r>
          </w:p>
        </w:tc>
        <w:tc>
          <w:tcPr>
            <w:tcW w:w="60" w:type="dxa"/>
            <w:tcBorders/>
            <w:tcMar>
              <w:bottom w:w="0" w:type="dxa"/>
            </w:tcMar>
            <w:vAlign w:val="center"/>
          </w:tcPr>
          <w:p>
            <w:pPr>
              <w:pStyle w:val="TableContents"/>
              <w:bidi w:val="0"/>
              <w:spacing w:before="0" w:after="283"/>
              <w:jc w:val="left"/>
              <w:rPr/>
            </w:pPr>
            <w:r>
              <w:rPr/>
              <w:t> </w:t>
            </w:r>
          </w:p>
        </w:tc>
        <w:tc>
          <w:tcPr>
            <w:tcW w:w="1730" w:type="dxa"/>
            <w:tcBorders/>
            <w:tcMar>
              <w:bottom w:w="0" w:type="dxa"/>
            </w:tcM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6.04</w:t>
            </w:r>
          </w:p>
        </w:tc>
      </w:tr>
      <w:tr>
        <w:trPr/>
        <w:tc>
          <w:tcPr>
            <w:tcW w:w="4400" w:type="dxa"/>
            <w:tcBorders/>
            <w:shd w:fill="CCEEFF" w:val="clear"/>
            <w:tcMar>
              <w:bottom w:w="0" w:type="dxa"/>
            </w:tcM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316(c)</w:t>
            </w:r>
          </w:p>
        </w:tc>
        <w:tc>
          <w:tcPr>
            <w:tcW w:w="60" w:type="dxa"/>
            <w:tcBorders/>
            <w:shd w:fill="CCEEFF" w:val="clear"/>
            <w:tcMar>
              <w:bottom w:w="0" w:type="dxa"/>
            </w:tcMar>
            <w:vAlign w:val="center"/>
          </w:tcPr>
          <w:p>
            <w:pPr>
              <w:pStyle w:val="TableContents"/>
              <w:bidi w:val="0"/>
              <w:spacing w:before="0" w:after="283"/>
              <w:jc w:val="left"/>
              <w:rPr/>
            </w:pPr>
            <w:r>
              <w:rPr/>
              <w:t> </w:t>
            </w:r>
          </w:p>
        </w:tc>
        <w:tc>
          <w:tcPr>
            <w:tcW w:w="1730" w:type="dxa"/>
            <w:tcBorders/>
            <w:shd w:fill="CCEEFF" w:val="clear"/>
            <w:tcMar>
              <w:bottom w:w="0" w:type="dxa"/>
            </w:tcM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8.01</w:t>
            </w:r>
          </w:p>
        </w:tc>
      </w:tr>
      <w:tr>
        <w:trPr/>
        <w:tc>
          <w:tcPr>
            <w:tcW w:w="4400" w:type="dxa"/>
            <w:tcBorders/>
            <w:tcMar>
              <w:bottom w:w="0" w:type="dxa"/>
            </w:tcM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317(a)</w:t>
            </w:r>
          </w:p>
        </w:tc>
        <w:tc>
          <w:tcPr>
            <w:tcW w:w="60" w:type="dxa"/>
            <w:tcBorders/>
            <w:tcMar>
              <w:bottom w:w="0" w:type="dxa"/>
            </w:tcMar>
            <w:vAlign w:val="center"/>
          </w:tcPr>
          <w:p>
            <w:pPr>
              <w:pStyle w:val="TableContents"/>
              <w:bidi w:val="0"/>
              <w:spacing w:before="0" w:after="283"/>
              <w:jc w:val="left"/>
              <w:rPr/>
            </w:pPr>
            <w:r>
              <w:rPr/>
              <w:t> </w:t>
            </w:r>
          </w:p>
        </w:tc>
        <w:tc>
          <w:tcPr>
            <w:tcW w:w="1730" w:type="dxa"/>
            <w:tcBorders/>
            <w:tcMar>
              <w:bottom w:w="0" w:type="dxa"/>
            </w:tcM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6.02</w:t>
            </w:r>
          </w:p>
        </w:tc>
      </w:tr>
      <w:tr>
        <w:trPr/>
        <w:tc>
          <w:tcPr>
            <w:tcW w:w="4400" w:type="dxa"/>
            <w:tcBorders/>
            <w:shd w:fill="CCEEFF" w:val="clear"/>
            <w:tcMar>
              <w:bottom w:w="0" w:type="dxa"/>
            </w:tcM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317(b)</w:t>
            </w:r>
          </w:p>
        </w:tc>
        <w:tc>
          <w:tcPr>
            <w:tcW w:w="60" w:type="dxa"/>
            <w:tcBorders/>
            <w:shd w:fill="CCEEFF" w:val="clear"/>
            <w:tcMar>
              <w:bottom w:w="0" w:type="dxa"/>
            </w:tcMar>
            <w:vAlign w:val="center"/>
          </w:tcPr>
          <w:p>
            <w:pPr>
              <w:pStyle w:val="TableContents"/>
              <w:bidi w:val="0"/>
              <w:spacing w:before="0" w:after="283"/>
              <w:jc w:val="left"/>
              <w:rPr/>
            </w:pPr>
            <w:r>
              <w:rPr/>
              <w:t> </w:t>
            </w:r>
          </w:p>
        </w:tc>
        <w:tc>
          <w:tcPr>
            <w:tcW w:w="1730" w:type="dxa"/>
            <w:tcBorders/>
            <w:shd w:fill="CCEEFF" w:val="clear"/>
            <w:tcMar>
              <w:bottom w:w="0" w:type="dxa"/>
            </w:tcM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4.03</w:t>
            </w:r>
          </w:p>
        </w:tc>
      </w:tr>
      <w:tr>
        <w:trPr/>
        <w:tc>
          <w:tcPr>
            <w:tcW w:w="4400" w:type="dxa"/>
            <w:tcBorders/>
            <w:tcMar>
              <w:bottom w:w="0" w:type="dxa"/>
            </w:tcM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318(a)</w:t>
            </w:r>
          </w:p>
        </w:tc>
        <w:tc>
          <w:tcPr>
            <w:tcW w:w="60" w:type="dxa"/>
            <w:tcBorders/>
            <w:tcMar>
              <w:bottom w:w="0" w:type="dxa"/>
            </w:tcMar>
            <w:vAlign w:val="center"/>
          </w:tcPr>
          <w:p>
            <w:pPr>
              <w:pStyle w:val="TableContents"/>
              <w:bidi w:val="0"/>
              <w:spacing w:before="0" w:after="283"/>
              <w:jc w:val="left"/>
              <w:rPr/>
            </w:pPr>
            <w:r>
              <w:rPr/>
              <w:t> </w:t>
            </w:r>
          </w:p>
        </w:tc>
        <w:tc>
          <w:tcPr>
            <w:tcW w:w="1730" w:type="dxa"/>
            <w:tcBorders/>
            <w:tcMar>
              <w:bottom w:w="0" w:type="dxa"/>
            </w:tcM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13.09</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31"/>
        <w:gridCol w:w="9936"/>
      </w:tblGrid>
      <w:tr>
        <w:trPr/>
        <w:tc>
          <w:tcPr>
            <w:tcW w:w="38"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w:t>
            </w:r>
          </w:p>
        </w:tc>
        <w:tc>
          <w:tcPr>
            <w:tcW w:w="9936"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This Cross-Reference Table does not constitute part of the Indenture and shall not have any bearing on the interpretation of any of its terms or provisions.</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40</w:t>
      </w:r>
    </w:p>
    <w:p>
      <w:pPr>
        <w:pStyle w:val="TextBody"/>
        <w:bidi w:val="0"/>
        <w:ind w:left="0" w:right="0" w:hanging="0"/>
        <w:jc w:val="left"/>
        <w:rPr>
          <w:bdr w:val="single" w:sz="12" w:space="1" w:color="000000"/>
        </w:rPr>
      </w:pPr>
      <w:r>
        <w:rPr>
          <w:bdr w:val="single" w:sz="12" w:space="1" w:color="000000"/>
        </w:rPr>
        <w:t> </w:t>
      </w:r>
    </w:p>
    <w:p>
      <w:pPr>
        <w:pStyle w:val="TextBody"/>
        <w:bidi w:val="0"/>
        <w:ind w:left="0" w:right="0" w:hanging="0"/>
        <w:jc w:val="right"/>
        <w:rPr>
          <w:b/>
        </w:rPr>
      </w:pPr>
      <w:bookmarkStart w:id="207" w:name="ea030223901ex5-1.htm"/>
      <w:bookmarkStart w:id="208" w:name="ksea030223901ex51"/>
      <w:bookmarkEnd w:id="207"/>
      <w:bookmarkEnd w:id="208"/>
      <w:r>
        <w:rPr>
          <w:b/>
        </w:rPr>
        <w:t>Exhibit 5.1</w:t>
      </w:r>
      <w:r>
        <w:br w:type="page"/>
      </w:r>
    </w:p>
    <w:p>
      <w:pPr>
        <w:pStyle w:val="TextBody"/>
        <w:bidi w:val="0"/>
        <w:spacing w:before="0" w:after="283"/>
        <w:jc w:val="left"/>
        <w:rPr/>
      </w:pPr>
      <w:r>
        <w:rPr/>
        <w:t> </w:t>
      </w:r>
    </w:p>
    <w:p>
      <w:pPr>
        <w:pStyle w:val="TextBody"/>
        <w:bidi w:val="0"/>
        <w:jc w:val="center"/>
        <w:rPr/>
      </w:pPr>
      <w:r>
        <w:rPr/>
        <w:drawing>
          <wp:inline distT="0" distB="0" distL="0" distR="0">
            <wp:extent cx="2905125" cy="96202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16"/>
                    <a:stretch>
                      <a:fillRect/>
                    </a:stretch>
                  </pic:blipFill>
                  <pic:spPr bwMode="auto">
                    <a:xfrm>
                      <a:off x="0" y="0"/>
                      <a:ext cx="2905125" cy="962025"/>
                    </a:xfrm>
                    <a:prstGeom prst="rect">
                      <a:avLst/>
                    </a:prstGeom>
                  </pic:spPr>
                </pic:pic>
              </a:graphicData>
            </a:graphic>
          </wp:inline>
        </w:drawing>
      </w:r>
    </w:p>
    <w:p>
      <w:pPr>
        <w:pStyle w:val="TextBody"/>
        <w:bidi w:val="0"/>
        <w:spacing w:before="0" w:after="283"/>
        <w:jc w:val="left"/>
        <w:rPr/>
      </w:pPr>
      <w:r>
        <w:rPr/>
        <w:t> </w:t>
      </w:r>
    </w:p>
    <w:p>
      <w:pPr>
        <w:pStyle w:val="TextBody"/>
        <w:bidi w:val="0"/>
        <w:spacing w:before="0" w:after="0"/>
        <w:ind w:left="5760" w:right="0" w:firstLine="72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August 27, 2026</w:t>
      </w:r>
    </w:p>
    <w:p>
      <w:pPr>
        <w:pStyle w:val="TextBody"/>
        <w:bidi w:val="0"/>
        <w:spacing w:before="0" w:after="0"/>
        <w:ind w:left="5760" w:right="0" w:firstLine="720"/>
        <w:jc w:val="righ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Niki BioSolutions, Inc.</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116 Village Boulevard, Suite 200</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Princeton, NJ 08540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Ladies and Gentlemen: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acted as U.S. securities counsel to Niki BioSolutions, Inc. (f/k/a Aptorum Group Limited), , a Delaware corporation (the “</w:t>
      </w:r>
      <w:r>
        <w:rPr>
          <w:rFonts w:ascii="Times New Roman;Times;Serif" w:hAnsi="Times New Roman;Times;Serif"/>
          <w:b/>
          <w:i w:val="false"/>
          <w:caps w:val="false"/>
          <w:smallCaps w:val="false"/>
          <w:sz w:val="20"/>
        </w:rPr>
        <w:t>Company</w:t>
      </w:r>
      <w:r>
        <w:rPr>
          <w:rFonts w:ascii="Times New Roman;Times;Serif" w:hAnsi="Times New Roman;Times;Serif"/>
          <w:b w:val="false"/>
          <w:i w:val="false"/>
          <w:caps w:val="false"/>
          <w:smallCaps w:val="false"/>
          <w:sz w:val="20"/>
        </w:rPr>
        <w:t>”), in connection with the preparation and filing with the U.S. Securities and Exchange Commission (the “</w:t>
      </w:r>
      <w:r>
        <w:rPr>
          <w:rFonts w:ascii="Times New Roman;Times;Serif" w:hAnsi="Times New Roman;Times;Serif"/>
          <w:b/>
          <w:i w:val="false"/>
          <w:caps w:val="false"/>
          <w:smallCaps w:val="false"/>
          <w:sz w:val="20"/>
        </w:rPr>
        <w:t>Commission</w:t>
      </w:r>
      <w:r>
        <w:rPr>
          <w:rFonts w:ascii="Times New Roman;Times;Serif" w:hAnsi="Times New Roman;Times;Serif"/>
          <w:b w:val="false"/>
          <w:i w:val="false"/>
          <w:caps w:val="false"/>
          <w:smallCaps w:val="false"/>
          <w:sz w:val="20"/>
        </w:rPr>
        <w:t>”) of a Registration Statement on Form S-3 (the “</w:t>
      </w:r>
      <w:r>
        <w:rPr>
          <w:rFonts w:ascii="Times New Roman;Times;Serif" w:hAnsi="Times New Roman;Times;Serif"/>
          <w:b/>
          <w:i w:val="false"/>
          <w:caps w:val="false"/>
          <w:smallCaps w:val="false"/>
          <w:sz w:val="20"/>
        </w:rPr>
        <w:t>Registration Statement</w:t>
      </w:r>
      <w:r>
        <w:rPr>
          <w:rFonts w:ascii="Times New Roman;Times;Serif" w:hAnsi="Times New Roman;Times;Serif"/>
          <w:b w:val="false"/>
          <w:i w:val="false"/>
          <w:caps w:val="false"/>
          <w:smallCaps w:val="false"/>
          <w:sz w:val="20"/>
        </w:rPr>
        <w:t>”), filed under the Securities Act of 1933, as amended (the “</w:t>
      </w:r>
      <w:r>
        <w:rPr>
          <w:rFonts w:ascii="Times New Roman;Times;Serif" w:hAnsi="Times New Roman;Times;Serif"/>
          <w:b/>
          <w:i w:val="false"/>
          <w:caps w:val="false"/>
          <w:smallCaps w:val="false"/>
          <w:sz w:val="20"/>
        </w:rPr>
        <w:t>Securities Act</w:t>
      </w:r>
      <w:r>
        <w:rPr>
          <w:rFonts w:ascii="Times New Roman;Times;Serif" w:hAnsi="Times New Roman;Times;Serif"/>
          <w:b w:val="false"/>
          <w:i w:val="false"/>
          <w:caps w:val="false"/>
          <w:smallCaps w:val="false"/>
          <w:sz w:val="20"/>
        </w:rPr>
        <w:t>”), relating to the registration and the proposed issuance and sale from time to time pursuant to Rule 415 under the Securities Act, together or separately and in one or more series (if applicable) of:</w:t>
      </w:r>
    </w:p>
    <w:p>
      <w:pPr>
        <w:pStyle w:val="TextBody"/>
        <w:bidi w:val="0"/>
        <w:spacing w:before="0" w:after="0"/>
        <w:ind w:left="144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8"/>
        <w:gridCol w:w="234"/>
        <w:gridCol w:w="9933"/>
      </w:tblGrid>
      <w:tr>
        <w:trPr/>
        <w:tc>
          <w:tcPr>
            <w:tcW w:w="38"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pPr>
            <w:r>
              <w:rPr/>
              <w:t>(i)</w:t>
            </w:r>
          </w:p>
        </w:tc>
        <w:tc>
          <w:tcPr>
            <w:tcW w:w="9933" w:type="dxa"/>
            <w:tcBorders/>
            <w:vAlign w:val="center"/>
          </w:tcPr>
          <w:p>
            <w:pPr>
              <w:pStyle w:val="TableContents"/>
              <w:bidi w:val="0"/>
              <w:spacing w:before="0" w:after="283"/>
              <w:jc w:val="both"/>
              <w:rPr/>
            </w:pPr>
            <w:r>
              <w:rPr/>
              <w:t>shares of the Company’s Class A common stock, par value $0.0001 per share (the “</w:t>
            </w:r>
            <w:r>
              <w:rPr>
                <w:b/>
              </w:rPr>
              <w:t>Common Stock</w:t>
            </w:r>
            <w:r>
              <w:rPr/>
              <w:t>”);</w:t>
            </w:r>
          </w:p>
        </w:tc>
      </w:tr>
    </w:tbl>
    <w:p>
      <w:pPr>
        <w:pStyle w:val="TextBody"/>
        <w:bidi w:val="0"/>
        <w:spacing w:before="0" w:after="0"/>
        <w:ind w:left="144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43"/>
        <w:gridCol w:w="9925"/>
      </w:tblGrid>
      <w:tr>
        <w:trPr/>
        <w:tc>
          <w:tcPr>
            <w:tcW w:w="37"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pPr>
            <w:r>
              <w:rPr/>
              <w:t>(ii)</w:t>
            </w:r>
          </w:p>
        </w:tc>
        <w:tc>
          <w:tcPr>
            <w:tcW w:w="9925" w:type="dxa"/>
            <w:tcBorders/>
            <w:vAlign w:val="center"/>
          </w:tcPr>
          <w:p>
            <w:pPr>
              <w:pStyle w:val="TableContents"/>
              <w:bidi w:val="0"/>
              <w:spacing w:before="0" w:after="283"/>
              <w:jc w:val="both"/>
              <w:rPr/>
            </w:pPr>
            <w:r>
              <w:rPr/>
              <w:t>the Company’s debt securities, which may either be senior debt securities (the “</w:t>
            </w:r>
            <w:r>
              <w:rPr>
                <w:b/>
              </w:rPr>
              <w:t>Senior Debt Securities</w:t>
            </w:r>
            <w:r>
              <w:rPr/>
              <w:t>”) or subordinated debt securities (the “</w:t>
            </w:r>
            <w:r>
              <w:rPr>
                <w:b/>
              </w:rPr>
              <w:t>Subordinated Debt Securities</w:t>
            </w:r>
            <w:r>
              <w:rPr/>
              <w:t>” and, collectively with the Senior Debt Securities, the “</w:t>
            </w:r>
            <w:r>
              <w:rPr>
                <w:b/>
              </w:rPr>
              <w:t>Debt Securities</w:t>
            </w:r>
            <w:r>
              <w:rPr/>
              <w:t>”);</w:t>
            </w:r>
          </w:p>
        </w:tc>
      </w:tr>
    </w:tbl>
    <w:p>
      <w:pPr>
        <w:pStyle w:val="TextBody"/>
        <w:bidi w:val="0"/>
        <w:spacing w:before="0" w:after="0"/>
        <w:ind w:left="144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318"/>
        <w:gridCol w:w="9850"/>
      </w:tblGrid>
      <w:tr>
        <w:trPr/>
        <w:tc>
          <w:tcPr>
            <w:tcW w:w="37" w:type="dxa"/>
            <w:tcBorders/>
            <w:vAlign w:val="center"/>
          </w:tcPr>
          <w:p>
            <w:pPr>
              <w:pStyle w:val="TableContents"/>
              <w:bidi w:val="0"/>
              <w:spacing w:before="0" w:after="283"/>
              <w:jc w:val="left"/>
              <w:rPr>
                <w:sz w:val="4"/>
                <w:szCs w:val="4"/>
              </w:rPr>
            </w:pPr>
            <w:r>
              <w:rPr>
                <w:sz w:val="4"/>
                <w:szCs w:val="4"/>
              </w:rPr>
            </w:r>
          </w:p>
        </w:tc>
        <w:tc>
          <w:tcPr>
            <w:tcW w:w="318" w:type="dxa"/>
            <w:tcBorders/>
            <w:vAlign w:val="center"/>
          </w:tcPr>
          <w:p>
            <w:pPr>
              <w:pStyle w:val="TableContents"/>
              <w:bidi w:val="0"/>
              <w:spacing w:before="0" w:after="283"/>
              <w:jc w:val="left"/>
              <w:rPr/>
            </w:pPr>
            <w:r>
              <w:rPr/>
              <w:t>(iii)</w:t>
            </w:r>
          </w:p>
        </w:tc>
        <w:tc>
          <w:tcPr>
            <w:tcW w:w="9850" w:type="dxa"/>
            <w:tcBorders/>
            <w:vAlign w:val="center"/>
          </w:tcPr>
          <w:p>
            <w:pPr>
              <w:pStyle w:val="TableContents"/>
              <w:bidi w:val="0"/>
              <w:spacing w:before="0" w:after="283"/>
              <w:jc w:val="both"/>
              <w:rPr/>
            </w:pPr>
            <w:r>
              <w:rPr/>
              <w:t>warrants for the purchase of the Company’s Common Stock, shares of preferred stock (“</w:t>
            </w:r>
            <w:r>
              <w:rPr>
                <w:b/>
              </w:rPr>
              <w:t>Preferred Stock</w:t>
            </w:r>
            <w:r>
              <w:rPr/>
              <w:t>”), Debt Securities, or Units (as defined below) (the “</w:t>
            </w:r>
            <w:r>
              <w:rPr>
                <w:b/>
              </w:rPr>
              <w:t>Warrants</w:t>
            </w:r>
            <w:r>
              <w:rPr/>
              <w:t>”);</w:t>
            </w:r>
          </w:p>
        </w:tc>
      </w:tr>
    </w:tbl>
    <w:p>
      <w:pPr>
        <w:pStyle w:val="TextBody"/>
        <w:bidi w:val="0"/>
        <w:spacing w:before="0" w:after="0"/>
        <w:ind w:left="144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330"/>
        <w:gridCol w:w="9838"/>
      </w:tblGrid>
      <w:tr>
        <w:trPr/>
        <w:tc>
          <w:tcPr>
            <w:tcW w:w="37"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pPr>
            <w:r>
              <w:rPr/>
              <w:t>(iv)</w:t>
            </w:r>
          </w:p>
        </w:tc>
        <w:tc>
          <w:tcPr>
            <w:tcW w:w="9838" w:type="dxa"/>
            <w:tcBorders/>
            <w:vAlign w:val="center"/>
          </w:tcPr>
          <w:p>
            <w:pPr>
              <w:pStyle w:val="TableContents"/>
              <w:bidi w:val="0"/>
              <w:spacing w:before="0" w:after="283"/>
              <w:jc w:val="both"/>
              <w:rPr/>
            </w:pPr>
            <w:r>
              <w:rPr/>
              <w:t>subscription rights to purchase the Company’s Common Stock, Preferred Stock, Debt Securities, Warrants, or Units (the “</w:t>
            </w:r>
            <w:r>
              <w:rPr>
                <w:b/>
              </w:rPr>
              <w:t>Rights</w:t>
            </w:r>
            <w:r>
              <w:rPr/>
              <w:t>”); and</w:t>
            </w:r>
          </w:p>
        </w:tc>
      </w:tr>
    </w:tbl>
    <w:p>
      <w:pPr>
        <w:pStyle w:val="TextBody"/>
        <w:bidi w:val="0"/>
        <w:spacing w:before="0" w:after="0"/>
        <w:ind w:left="144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69"/>
        <w:gridCol w:w="9899"/>
      </w:tblGrid>
      <w:tr>
        <w:trPr/>
        <w:tc>
          <w:tcPr>
            <w:tcW w:w="37"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pPr>
            <w:r>
              <w:rPr/>
              <w:t>(v)</w:t>
            </w:r>
          </w:p>
        </w:tc>
        <w:tc>
          <w:tcPr>
            <w:tcW w:w="9899" w:type="dxa"/>
            <w:tcBorders/>
            <w:vAlign w:val="center"/>
          </w:tcPr>
          <w:p>
            <w:pPr>
              <w:pStyle w:val="TableContents"/>
              <w:bidi w:val="0"/>
              <w:spacing w:before="0" w:after="283"/>
              <w:jc w:val="both"/>
              <w:rPr/>
            </w:pPr>
            <w:r>
              <w:rPr/>
              <w:t>units comprising any combination of the Company’s Common Stock, Preferred Stock, Debt Securities, Warrants, and Rights (the “</w:t>
            </w:r>
            <w:r>
              <w:rPr>
                <w:b/>
              </w:rPr>
              <w:t>Units</w:t>
            </w:r>
            <w:r>
              <w:rPr/>
              <w:t>”).</w:t>
            </w:r>
          </w:p>
        </w:tc>
      </w:tr>
    </w:tbl>
    <w:p>
      <w:pPr>
        <w:pStyle w:val="TextBody"/>
        <w:bidi w:val="0"/>
        <w:spacing w:before="0" w:after="0"/>
        <w:ind w:left="1440" w:right="0" w:hanging="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Debt Securities, Warrants, Rights, and Units are collectively referred to herein as the “</w:t>
      </w:r>
      <w:r>
        <w:rPr>
          <w:rFonts w:ascii="Times New Roman;Times;Serif" w:hAnsi="Times New Roman;Times;Serif"/>
          <w:b/>
          <w:i w:val="false"/>
          <w:caps w:val="false"/>
          <w:smallCaps w:val="false"/>
          <w:sz w:val="20"/>
        </w:rPr>
        <w:t>Securities</w:t>
      </w:r>
      <w:r>
        <w:rPr>
          <w:rFonts w:ascii="Times New Roman;Times;Serif" w:hAnsi="Times New Roman;Times;Serif"/>
          <w:b w:val="false"/>
          <w:i w:val="false"/>
          <w:caps w:val="false"/>
          <w:smallCaps w:val="false"/>
          <w:sz w:val="20"/>
        </w:rPr>
        <w:t>.” The Senior Debt Securities are to be issued under an indenture to be entered into between the Company and a financial institution to be named at the time such indenture is executed (the “</w:t>
      </w:r>
      <w:r>
        <w:rPr>
          <w:rFonts w:ascii="Times New Roman;Times;Serif" w:hAnsi="Times New Roman;Times;Serif"/>
          <w:b/>
          <w:i w:val="false"/>
          <w:caps w:val="false"/>
          <w:smallCaps w:val="false"/>
          <w:sz w:val="20"/>
        </w:rPr>
        <w:t>Trust Company</w:t>
      </w:r>
      <w:r>
        <w:rPr>
          <w:rFonts w:ascii="Times New Roman;Times;Serif" w:hAnsi="Times New Roman;Times;Serif"/>
          <w:b w:val="false"/>
          <w:i w:val="false"/>
          <w:caps w:val="false"/>
          <w:smallCaps w:val="false"/>
          <w:sz w:val="20"/>
        </w:rPr>
        <w:t>”), as indenture trustee (the “</w:t>
      </w:r>
      <w:r>
        <w:rPr>
          <w:rFonts w:ascii="Times New Roman;Times;Serif" w:hAnsi="Times New Roman;Times;Serif"/>
          <w:b/>
          <w:i w:val="false"/>
          <w:caps w:val="false"/>
          <w:smallCaps w:val="false"/>
          <w:sz w:val="20"/>
        </w:rPr>
        <w:t>Senior Base Indenture</w:t>
      </w:r>
      <w:r>
        <w:rPr>
          <w:rFonts w:ascii="Times New Roman;Times;Serif" w:hAnsi="Times New Roman;Times;Serif"/>
          <w:b w:val="false"/>
          <w:i w:val="false"/>
          <w:caps w:val="false"/>
          <w:smallCaps w:val="false"/>
          <w:sz w:val="20"/>
        </w:rPr>
        <w:t>”). The Subordinated Debt Securities are to be issued under an indenture to be entered into between the Company and the Trust Company, as indenture trustee (the “</w:t>
      </w:r>
      <w:r>
        <w:rPr>
          <w:rFonts w:ascii="Times New Roman;Times;Serif" w:hAnsi="Times New Roman;Times;Serif"/>
          <w:b/>
          <w:i w:val="false"/>
          <w:caps w:val="false"/>
          <w:smallCaps w:val="false"/>
          <w:sz w:val="20"/>
        </w:rPr>
        <w:t>Subordinated Base Indenture</w:t>
      </w:r>
      <w:r>
        <w:rPr>
          <w:rFonts w:ascii="Times New Roman;Times;Serif" w:hAnsi="Times New Roman;Times;Serif"/>
          <w:b w:val="false"/>
          <w:i w:val="false"/>
          <w:caps w:val="false"/>
          <w:smallCaps w:val="false"/>
          <w:sz w:val="20"/>
        </w:rPr>
        <w:t>,” and, together with the Senior Base Indenture, the “</w:t>
      </w:r>
      <w:r>
        <w:rPr>
          <w:rFonts w:ascii="Times New Roman;Times;Serif" w:hAnsi="Times New Roman;Times;Serif"/>
          <w:b/>
          <w:i w:val="false"/>
          <w:caps w:val="false"/>
          <w:smallCaps w:val="false"/>
          <w:sz w:val="20"/>
        </w:rPr>
        <w:t>Base Indentures</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arriving at the opinions expressed below, we have examined originals, or copies certified or otherwise identified to our satisfaction as being true and complete copies of the originals, of forms of the Base Indentures and such other documents, corporate records, certificates of officers of the Company and of public officials and other instruments as we have deemed necessary or advisable to enable us to render these opinions. In our examination, we have assumed the genuineness of all signatures, the legal capacity and competency of all natural persons, the authenticity of all documents submitted to us as originals and the conformity to original documents of all documents submitted to us as copies. As to any facts material to these opinions, we have relied to the extent we deemed appropriate and without independent investigation upon statements and representations of officers and other representatives of the Company and others. </w:t>
      </w:r>
    </w:p>
    <w:p>
      <w:pPr>
        <w:pStyle w:val="TextBody"/>
        <w:bidi w:val="0"/>
        <w:spacing w:before="0" w:after="0"/>
        <w:ind w:left="0" w:right="0" w:firstLine="81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www.htflawyers.com | info@htflawyers.com</w:t>
      </w:r>
    </w:p>
    <w:p>
      <w:pPr>
        <w:pStyle w:val="TextBody"/>
        <w:bidi w:val="0"/>
        <w:spacing w:before="0" w:after="0"/>
        <w:ind w:left="0" w:right="0" w:hanging="0"/>
        <w:jc w:val="center"/>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950 Third Avenue, 19th Floor - New York, NY 10022 | Office: (212) 530-2210 | Fax: (212) 202-6380</w:t>
      </w:r>
    </w:p>
    <w:p>
      <w:pPr>
        <w:pStyle w:val="TextBody"/>
        <w:bidi w:val="0"/>
        <w:spacing w:before="0" w:after="0"/>
        <w:ind w:left="0" w:right="0" w:hanging="0"/>
        <w:jc w:val="left"/>
        <w:rPr/>
      </w:pPr>
      <w:r>
        <w:rPr/>
        <w:t> </w:t>
      </w:r>
    </w:p>
    <w:p>
      <w:pPr>
        <w:pStyle w:val="TextBody"/>
        <w:bidi w:val="0"/>
        <w:spacing w:before="0" w:after="0"/>
        <w:ind w:left="0" w:right="0" w:firstLine="810"/>
        <w:jc w:val="center"/>
        <w:rPr>
          <w:caps w:val="false"/>
          <w:smallCaps w:val="false"/>
          <w:bdr w:val="single" w:sz="12" w:space="1" w:color="000000"/>
        </w:rPr>
      </w:pPr>
      <w:r>
        <w:rPr>
          <w:caps w:val="false"/>
          <w:smallCaps w:val="false"/>
          <w:bdr w:val="single" w:sz="12" w:space="1" w:color="000000"/>
        </w:rPr>
        <w:t> </w:t>
      </w:r>
    </w:p>
    <w:p>
      <w:pPr>
        <w:pStyle w:val="TextBody"/>
        <w:bidi w:val="0"/>
        <w:spacing w:before="0" w:after="0"/>
        <w:jc w:val="center"/>
        <w:rPr/>
      </w:pPr>
      <w:r>
        <w:rPr/>
        <w:t> </w:t>
      </w:r>
    </w:p>
    <w:p>
      <w:pPr>
        <w:pStyle w:val="TextBody"/>
        <w:bidi w:val="0"/>
        <w:spacing w:before="0" w:after="0"/>
        <w:ind w:left="0" w:right="0" w:firstLine="810"/>
        <w:jc w:val="both"/>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drawing>
          <wp:inline distT="0" distB="0" distL="0" distR="0">
            <wp:extent cx="2905125" cy="96202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17"/>
                    <a:stretch>
                      <a:fillRect/>
                    </a:stretch>
                  </pic:blipFill>
                  <pic:spPr bwMode="auto">
                    <a:xfrm>
                      <a:off x="0" y="0"/>
                      <a:ext cx="2905125" cy="962025"/>
                    </a:xfrm>
                    <a:prstGeom prst="rect">
                      <a:avLst/>
                    </a:prstGeom>
                  </pic:spPr>
                </pic:pic>
              </a:graphicData>
            </a:graphic>
          </wp:inline>
        </w:drawing>
      </w:r>
    </w:p>
    <w:p>
      <w:pPr>
        <w:pStyle w:val="TextBody"/>
        <w:bidi w:val="0"/>
        <w:spacing w:before="0" w:after="0"/>
        <w:ind w:left="0" w:right="0" w:firstLine="81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assumed without independent investigation that: (i) at the time any Securities are sold pursuant to the Registration Statement (the “</w:t>
      </w:r>
      <w:r>
        <w:rPr>
          <w:rFonts w:ascii="Times New Roman;Times;Serif" w:hAnsi="Times New Roman;Times;Serif"/>
          <w:b/>
          <w:i w:val="false"/>
          <w:caps w:val="false"/>
          <w:smallCaps w:val="false"/>
          <w:sz w:val="20"/>
        </w:rPr>
        <w:t>Relevant Time</w:t>
      </w:r>
      <w:r>
        <w:rPr>
          <w:rFonts w:ascii="Times New Roman;Times;Serif" w:hAnsi="Times New Roman;Times;Serif"/>
          <w:b w:val="false"/>
          <w:i w:val="false"/>
          <w:caps w:val="false"/>
          <w:smallCaps w:val="false"/>
          <w:sz w:val="20"/>
        </w:rPr>
        <w:t>”), the Registration Statement and any supplements and amendments thereto (including post-effective amendments) will be effective and will comply with all applicable laws; (ii) at the Relevant Time, a prospectus supplement will have been prepared and filed with the Commission describing the Securities offered thereby and all related documentation and will comply with all applicable laws; (iii) all Securities will be issued and sold in the manner stated in the Registration Statement and the applicable prospectus supplement; (iv) at the Relevant Time, all corporate or other action required to be taken by the Company to duly authorize each proposed issuance of Securities and any related documentation, shall have been duly completed and shall remain in full force and effect; (v) at the Relevant Time, Securities issuable upon conversion, exchange, or exercise of any Securities being offered will have been duly authorized, established (if appropriate), and reserved for issuance upon such conversion, exchange, or exercise (if appropriate); (vi) in the case of Debt Securities, at the Relevant Time, the relevant trustee shall have been qualified under the Trust Indenture Act of 1939, as amended (the “</w:t>
      </w:r>
      <w:r>
        <w:rPr>
          <w:rFonts w:ascii="Times New Roman;Times;Serif" w:hAnsi="Times New Roman;Times;Serif"/>
          <w:b/>
          <w:i w:val="false"/>
          <w:caps w:val="false"/>
          <w:smallCaps w:val="false"/>
          <w:sz w:val="20"/>
        </w:rPr>
        <w:t>TIA</w:t>
      </w:r>
      <w:r>
        <w:rPr>
          <w:rFonts w:ascii="Times New Roman;Times;Serif" w:hAnsi="Times New Roman;Times;Serif"/>
          <w:b w:val="false"/>
          <w:i w:val="false"/>
          <w:caps w:val="false"/>
          <w:smallCaps w:val="false"/>
          <w:sz w:val="20"/>
        </w:rPr>
        <w:t>”), a Statement of Eligibility of the Trustee on Form T-1 shall have been properly filed with the Commission and the relevant Base Indenture shall have been duly executed and delivered by the Company and all other parties thereto and duly qualified under the TIA; and (vii) at the Relevant Time, a definitive purchase agreement, underwriting agreement, or similar agreement and any other necessary agreement with respect to any Securities offered or issued will have been duly authorized by all necessary corporate or other action of the Company and duly executed and delivered by the Company and the other parties thereto.</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Based on the foregoing and in reliance thereon, and subject to the assumptions, exceptions, qualifications, and limitations set forth herein, we are of the opinion that:</w:t>
      </w:r>
    </w:p>
    <w:p>
      <w:pPr>
        <w:pStyle w:val="TextBody"/>
        <w:bidi w:val="0"/>
        <w:spacing w:before="0" w:after="0"/>
        <w:ind w:left="0" w:right="0" w:hanging="0"/>
        <w:jc w:val="both"/>
        <w:rPr>
          <w:caps w:val="false"/>
          <w:smallCaps w:val="false"/>
        </w:rPr>
      </w:pPr>
      <w:r>
        <w:rPr>
          <w:caps w:val="false"/>
          <w:smallCaps w:val="false"/>
        </w:rPr>
        <w:t> </w:t>
      </w:r>
    </w:p>
    <w:tbl>
      <w:tblPr>
        <w:tblW w:w="3700" w:type="dxa"/>
        <w:jc w:val="left"/>
        <w:tblInd w:w="0" w:type="dxa"/>
        <w:tblLayout w:type="fixed"/>
        <w:tblCellMar>
          <w:top w:w="0" w:type="dxa"/>
          <w:left w:w="0" w:type="dxa"/>
          <w:bottom w:w="0" w:type="dxa"/>
          <w:right w:w="0" w:type="dxa"/>
        </w:tblCellMar>
      </w:tblPr>
      <w:tblGrid>
        <w:gridCol w:w="185"/>
        <w:gridCol w:w="3515"/>
      </w:tblGrid>
      <w:tr>
        <w:trPr/>
        <w:tc>
          <w:tcPr>
            <w:tcW w:w="18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1.</w:t>
            </w:r>
          </w:p>
        </w:tc>
        <w:tc>
          <w:tcPr>
            <w:tcW w:w="351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With respect to any Debt Securities, when: </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55"/>
        <w:gridCol w:w="9975"/>
      </w:tblGrid>
      <w:tr>
        <w:trPr/>
        <w:tc>
          <w:tcPr>
            <w:tcW w:w="75" w:type="dxa"/>
            <w:tcBorders/>
            <w:vAlign w:val="center"/>
          </w:tcPr>
          <w:p>
            <w:pPr>
              <w:pStyle w:val="TableContents"/>
              <w:bidi w:val="0"/>
              <w:spacing w:before="0" w:after="283"/>
              <w:jc w:val="both"/>
              <w:rPr/>
            </w:pPr>
            <w:r>
              <w:rPr/>
              <w:t> </w:t>
            </w:r>
          </w:p>
        </w:tc>
        <w:tc>
          <w:tcPr>
            <w:tcW w:w="15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w:t>
            </w:r>
          </w:p>
        </w:tc>
        <w:tc>
          <w:tcPr>
            <w:tcW w:w="997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terms and conditions of such Debt Securities have been duly established by supplemental indenture or officers’ certificate in accordance with the terms and conditions of the relevant Base Indenture, </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00"/>
        <w:gridCol w:w="9930"/>
      </w:tblGrid>
      <w:tr>
        <w:trPr/>
        <w:tc>
          <w:tcPr>
            <w:tcW w:w="75" w:type="dxa"/>
            <w:tcBorders/>
            <w:vAlign w:val="center"/>
          </w:tcPr>
          <w:p>
            <w:pPr>
              <w:pStyle w:val="TableContents"/>
              <w:bidi w:val="0"/>
              <w:spacing w:before="0" w:after="283"/>
              <w:jc w:val="both"/>
              <w:rPr/>
            </w:pPr>
            <w:r>
              <w:rPr/>
              <w:t> </w:t>
            </w:r>
          </w:p>
        </w:tc>
        <w:tc>
          <w:tcPr>
            <w:tcW w:w="200"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b.</w:t>
            </w:r>
          </w:p>
        </w:tc>
        <w:tc>
          <w:tcPr>
            <w:tcW w:w="9930"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any such supplemental indenture has been duly executed and delivered by the Company and the relevant trustee (together with the relevant Base Indenture, the “</w:t>
            </w:r>
            <w:r>
              <w:rPr>
                <w:rFonts w:ascii="Times New Roman;Times;Serif" w:hAnsi="Times New Roman;Times;Serif"/>
                <w:b/>
              </w:rPr>
              <w:t>Indenture</w:t>
            </w:r>
            <w:r>
              <w:rPr>
                <w:rFonts w:ascii="Times New Roman;Times;Serif" w:hAnsi="Times New Roman;Times;Serif"/>
              </w:rPr>
              <w:t>”), and </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85"/>
        <w:gridCol w:w="9945"/>
      </w:tblGrid>
      <w:tr>
        <w:trPr/>
        <w:tc>
          <w:tcPr>
            <w:tcW w:w="75" w:type="dxa"/>
            <w:tcBorders/>
            <w:vAlign w:val="center"/>
          </w:tcPr>
          <w:p>
            <w:pPr>
              <w:pStyle w:val="TableContents"/>
              <w:bidi w:val="0"/>
              <w:spacing w:before="0" w:after="283"/>
              <w:jc w:val="both"/>
              <w:rPr/>
            </w:pPr>
            <w:r>
              <w:rPr/>
              <w:t> </w:t>
            </w:r>
          </w:p>
        </w:tc>
        <w:tc>
          <w:tcPr>
            <w:tcW w:w="185"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c.</w:t>
            </w:r>
          </w:p>
        </w:tc>
        <w:tc>
          <w:tcPr>
            <w:tcW w:w="9945"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such Debt Securities have been executed (in the case of certificated Debt Securities), delivered and authenticated in accordance with the terms of the applicable Indenture and issued and sold for the consideration set forth in the applicable definitive purchase agreement, underwriting agreement, or similar agreement,</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such Debt Securities will be legal, valid, and binding obligations of the Company, enforceable against the Company in accordance with their respective terms.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www.htflawyers.com | info@htflawyers.com</w:t>
      </w:r>
    </w:p>
    <w:p>
      <w:pPr>
        <w:pStyle w:val="TextBody"/>
        <w:bidi w:val="0"/>
        <w:spacing w:before="0" w:after="0"/>
        <w:ind w:left="0" w:right="0" w:hanging="0"/>
        <w:jc w:val="center"/>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950 Third Avenue, 19th Floor - New York, NY 10022 | Office: (212) 530-2210 | Fax: (212) 202-6380</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w:t>
      </w:r>
    </w:p>
    <w:p>
      <w:pPr>
        <w:pStyle w:val="TextBody"/>
        <w:bidi w:val="0"/>
        <w:spacing w:before="0" w:after="0"/>
        <w:jc w:val="center"/>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drawing>
          <wp:inline distT="0" distB="0" distL="0" distR="0">
            <wp:extent cx="2905125" cy="96202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18"/>
                    <a:stretch>
                      <a:fillRect/>
                    </a:stretch>
                  </pic:blipFill>
                  <pic:spPr bwMode="auto">
                    <a:xfrm>
                      <a:off x="0" y="0"/>
                      <a:ext cx="2905125" cy="962025"/>
                    </a:xfrm>
                    <a:prstGeom prst="rect">
                      <a:avLst/>
                    </a:prstGeom>
                  </pic:spPr>
                </pic:pic>
              </a:graphicData>
            </a:graphic>
          </wp:inline>
        </w:drawing>
      </w:r>
    </w:p>
    <w:p>
      <w:pPr>
        <w:pStyle w:val="TextBody"/>
        <w:bidi w:val="0"/>
        <w:spacing w:before="0" w:after="0"/>
        <w:ind w:left="0" w:right="0" w:hanging="0"/>
        <w:jc w:val="both"/>
        <w:rPr>
          <w:caps w:val="false"/>
          <w:smallCaps w:val="false"/>
        </w:rPr>
      </w:pPr>
      <w:r>
        <w:rPr>
          <w:caps w:val="false"/>
          <w:smallCaps w:val="false"/>
        </w:rPr>
        <w:t> </w:t>
      </w:r>
    </w:p>
    <w:tbl>
      <w:tblPr>
        <w:tblW w:w="3723" w:type="dxa"/>
        <w:jc w:val="left"/>
        <w:tblInd w:w="0" w:type="dxa"/>
        <w:tblLayout w:type="fixed"/>
        <w:tblCellMar>
          <w:top w:w="0" w:type="dxa"/>
          <w:left w:w="0" w:type="dxa"/>
          <w:bottom w:w="0" w:type="dxa"/>
          <w:right w:w="0" w:type="dxa"/>
        </w:tblCellMar>
      </w:tblPr>
      <w:tblGrid>
        <w:gridCol w:w="38"/>
        <w:gridCol w:w="200"/>
        <w:gridCol w:w="3485"/>
      </w:tblGrid>
      <w:tr>
        <w:trPr/>
        <w:tc>
          <w:tcPr>
            <w:tcW w:w="3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2.</w:t>
            </w:r>
          </w:p>
        </w:tc>
        <w:tc>
          <w:tcPr>
            <w:tcW w:w="3485"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With respect to any Warrants, when:</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85"/>
        <w:gridCol w:w="9945"/>
      </w:tblGrid>
      <w:tr>
        <w:trPr/>
        <w:tc>
          <w:tcPr>
            <w:tcW w:w="75" w:type="dxa"/>
            <w:tcBorders/>
            <w:vAlign w:val="center"/>
          </w:tcPr>
          <w:p>
            <w:pPr>
              <w:pStyle w:val="TableContents"/>
              <w:bidi w:val="0"/>
              <w:spacing w:before="0" w:after="283"/>
              <w:jc w:val="both"/>
              <w:rPr/>
            </w:pPr>
            <w:r>
              <w:rPr/>
              <w:t> </w:t>
            </w:r>
          </w:p>
        </w:tc>
        <w:tc>
          <w:tcPr>
            <w:tcW w:w="185"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a.</w:t>
            </w:r>
          </w:p>
        </w:tc>
        <w:tc>
          <w:tcPr>
            <w:tcW w:w="9945"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the warrant agreement relating to such Warrants (the “</w:t>
            </w:r>
            <w:r>
              <w:rPr>
                <w:rFonts w:ascii="Times New Roman;Times;Serif" w:hAnsi="Times New Roman;Times;Serif"/>
                <w:b/>
              </w:rPr>
              <w:t>Warrant Agreement</w:t>
            </w:r>
            <w:r>
              <w:rPr>
                <w:rFonts w:ascii="Times New Roman;Times;Serif" w:hAnsi="Times New Roman;Times;Serif"/>
              </w:rPr>
              <w:t>”), if any, has been duly executed and delivered by the Company and each other party thereto, </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00"/>
        <w:gridCol w:w="9930"/>
      </w:tblGrid>
      <w:tr>
        <w:trPr/>
        <w:tc>
          <w:tcPr>
            <w:tcW w:w="75" w:type="dxa"/>
            <w:tcBorders/>
            <w:vAlign w:val="center"/>
          </w:tcPr>
          <w:p>
            <w:pPr>
              <w:pStyle w:val="TableContents"/>
              <w:bidi w:val="0"/>
              <w:spacing w:before="0" w:after="283"/>
              <w:jc w:val="both"/>
              <w:rPr/>
            </w:pPr>
            <w:r>
              <w:rPr/>
              <w:t> </w:t>
            </w:r>
          </w:p>
        </w:tc>
        <w:tc>
          <w:tcPr>
            <w:tcW w:w="200"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b.</w:t>
            </w:r>
          </w:p>
        </w:tc>
        <w:tc>
          <w:tcPr>
            <w:tcW w:w="9930"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the terms of the Warrants have been established in accordance with the Warrant Agreement, if any, and the applicable definitive purchase agreement, underwriting agreement, or similar agreement, and </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85"/>
        <w:gridCol w:w="9945"/>
      </w:tblGrid>
      <w:tr>
        <w:trPr/>
        <w:tc>
          <w:tcPr>
            <w:tcW w:w="75" w:type="dxa"/>
            <w:tcBorders/>
            <w:vAlign w:val="center"/>
          </w:tcPr>
          <w:p>
            <w:pPr>
              <w:pStyle w:val="TableContents"/>
              <w:bidi w:val="0"/>
              <w:spacing w:before="0" w:after="283"/>
              <w:jc w:val="both"/>
              <w:rPr/>
            </w:pPr>
            <w:r>
              <w:rPr/>
              <w:t> </w:t>
            </w:r>
          </w:p>
        </w:tc>
        <w:tc>
          <w:tcPr>
            <w:tcW w:w="185"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c.</w:t>
            </w:r>
          </w:p>
        </w:tc>
        <w:tc>
          <w:tcPr>
            <w:tcW w:w="9945"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the Warrants have been duly executed (in the case of certificated Warrants) and delivered in accordance with the Warrant Agreement, if any, and the applicable definitive purchase agreement, underwriting agreement, or similar agreement for the consideration provided for therein,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such Warrants will be legal, valid, and binding obligations of the Company, enforceable against the Company in accordance with their terms.</w:t>
      </w:r>
    </w:p>
    <w:p>
      <w:pPr>
        <w:pStyle w:val="TextBody"/>
        <w:bidi w:val="0"/>
        <w:spacing w:before="0" w:after="0"/>
        <w:ind w:left="0" w:right="0" w:hanging="0"/>
        <w:jc w:val="both"/>
        <w:rPr>
          <w:caps w:val="false"/>
          <w:smallCaps w:val="false"/>
        </w:rPr>
      </w:pPr>
      <w:r>
        <w:rPr>
          <w:caps w:val="false"/>
          <w:smallCaps w:val="false"/>
        </w:rPr>
        <w:t> </w:t>
      </w:r>
    </w:p>
    <w:tbl>
      <w:tblPr>
        <w:tblW w:w="3423" w:type="dxa"/>
        <w:jc w:val="left"/>
        <w:tblInd w:w="0" w:type="dxa"/>
        <w:tblLayout w:type="fixed"/>
        <w:tblCellMar>
          <w:top w:w="0" w:type="dxa"/>
          <w:left w:w="0" w:type="dxa"/>
          <w:bottom w:w="0" w:type="dxa"/>
          <w:right w:w="0" w:type="dxa"/>
        </w:tblCellMar>
      </w:tblPr>
      <w:tblGrid>
        <w:gridCol w:w="38"/>
        <w:gridCol w:w="200"/>
        <w:gridCol w:w="3185"/>
      </w:tblGrid>
      <w:tr>
        <w:trPr/>
        <w:tc>
          <w:tcPr>
            <w:tcW w:w="3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3.</w:t>
            </w:r>
          </w:p>
        </w:tc>
        <w:tc>
          <w:tcPr>
            <w:tcW w:w="3185" w:type="dxa"/>
            <w:tcBorders/>
            <w:vAlign w:val="center"/>
          </w:tcPr>
          <w:p>
            <w:pPr>
              <w:pStyle w:val="TableContents"/>
              <w:bidi w:val="0"/>
              <w:spacing w:before="0" w:after="283"/>
              <w:jc w:val="both"/>
              <w:rPr/>
            </w:pPr>
            <w:r>
              <w:rPr/>
              <w:t>With respect to any Rights when:</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85"/>
        <w:gridCol w:w="9945"/>
      </w:tblGrid>
      <w:tr>
        <w:trPr/>
        <w:tc>
          <w:tcPr>
            <w:tcW w:w="75" w:type="dxa"/>
            <w:tcBorders/>
            <w:vAlign w:val="center"/>
          </w:tcPr>
          <w:p>
            <w:pPr>
              <w:pStyle w:val="TableContents"/>
              <w:bidi w:val="0"/>
              <w:spacing w:before="0" w:after="283"/>
              <w:jc w:val="both"/>
              <w:rPr/>
            </w:pPr>
            <w:r>
              <w:rPr/>
              <w:t> </w:t>
            </w:r>
          </w:p>
        </w:tc>
        <w:tc>
          <w:tcPr>
            <w:tcW w:w="185"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a.</w:t>
            </w:r>
          </w:p>
        </w:tc>
        <w:tc>
          <w:tcPr>
            <w:tcW w:w="9945"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the agreement relating to such Rights (the “</w:t>
            </w:r>
            <w:r>
              <w:rPr>
                <w:rFonts w:ascii="Times New Roman;Times;Serif" w:hAnsi="Times New Roman;Times;Serif"/>
                <w:b/>
              </w:rPr>
              <w:t>Rights Agreement</w:t>
            </w:r>
            <w:r>
              <w:rPr>
                <w:rFonts w:ascii="Times New Roman;Times;Serif" w:hAnsi="Times New Roman;Times;Serif"/>
              </w:rPr>
              <w:t>”), if any, has been duly executed and delivered by the Company and each other party thereto, </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00"/>
        <w:gridCol w:w="9930"/>
      </w:tblGrid>
      <w:tr>
        <w:trPr/>
        <w:tc>
          <w:tcPr>
            <w:tcW w:w="75" w:type="dxa"/>
            <w:tcBorders/>
            <w:vAlign w:val="center"/>
          </w:tcPr>
          <w:p>
            <w:pPr>
              <w:pStyle w:val="TableContents"/>
              <w:bidi w:val="0"/>
              <w:spacing w:before="0" w:after="283"/>
              <w:jc w:val="both"/>
              <w:rPr/>
            </w:pPr>
            <w:r>
              <w:rPr/>
              <w:t> </w:t>
            </w:r>
          </w:p>
        </w:tc>
        <w:tc>
          <w:tcPr>
            <w:tcW w:w="200"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b.</w:t>
            </w:r>
          </w:p>
        </w:tc>
        <w:tc>
          <w:tcPr>
            <w:tcW w:w="9930"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the terms of the Rights have been established in accordance with the Rights Agreement, if any, and the applicable definitive purchase agreement, underwriting agreement, or similar agreement, and </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85"/>
        <w:gridCol w:w="9945"/>
      </w:tblGrid>
      <w:tr>
        <w:trPr/>
        <w:tc>
          <w:tcPr>
            <w:tcW w:w="75" w:type="dxa"/>
            <w:tcBorders/>
            <w:vAlign w:val="center"/>
          </w:tcPr>
          <w:p>
            <w:pPr>
              <w:pStyle w:val="TableContents"/>
              <w:bidi w:val="0"/>
              <w:spacing w:before="0" w:after="283"/>
              <w:jc w:val="both"/>
              <w:rPr/>
            </w:pPr>
            <w:r>
              <w:rPr/>
              <w:t> </w:t>
            </w:r>
          </w:p>
        </w:tc>
        <w:tc>
          <w:tcPr>
            <w:tcW w:w="185"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c.</w:t>
            </w:r>
          </w:p>
        </w:tc>
        <w:tc>
          <w:tcPr>
            <w:tcW w:w="9945"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the Rights have been duly executed (in the case of certificated Rights) and delivered in accordance with the Rights Agreement, if any, and the applicable definitive purchase agreement, underwriting agreement, or similar agreement for the consideration provided for therein,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such Rights will be legal, valid, and binding obligations of the Company, enforceable against the Company in accordance with their terms.</w:t>
      </w:r>
    </w:p>
    <w:p>
      <w:pPr>
        <w:pStyle w:val="TextBody"/>
        <w:bidi w:val="0"/>
        <w:spacing w:before="0" w:after="0"/>
        <w:ind w:left="0" w:right="0" w:hanging="0"/>
        <w:jc w:val="both"/>
        <w:rPr>
          <w:caps w:val="false"/>
          <w:smallCaps w:val="false"/>
        </w:rPr>
      </w:pPr>
      <w:r>
        <w:rPr>
          <w:caps w:val="false"/>
          <w:smallCaps w:val="false"/>
        </w:rPr>
        <w:t> </w:t>
      </w:r>
    </w:p>
    <w:tbl>
      <w:tblPr>
        <w:tblW w:w="3378" w:type="dxa"/>
        <w:jc w:val="left"/>
        <w:tblInd w:w="0" w:type="dxa"/>
        <w:tblLayout w:type="fixed"/>
        <w:tblCellMar>
          <w:top w:w="0" w:type="dxa"/>
          <w:left w:w="0" w:type="dxa"/>
          <w:bottom w:w="0" w:type="dxa"/>
          <w:right w:w="0" w:type="dxa"/>
        </w:tblCellMar>
      </w:tblPr>
      <w:tblGrid>
        <w:gridCol w:w="38"/>
        <w:gridCol w:w="200"/>
        <w:gridCol w:w="3140"/>
      </w:tblGrid>
      <w:tr>
        <w:trPr/>
        <w:tc>
          <w:tcPr>
            <w:tcW w:w="3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4.</w:t>
            </w:r>
          </w:p>
        </w:tc>
        <w:tc>
          <w:tcPr>
            <w:tcW w:w="3140"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With respect to any Units, when:</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85"/>
        <w:gridCol w:w="9945"/>
      </w:tblGrid>
      <w:tr>
        <w:trPr/>
        <w:tc>
          <w:tcPr>
            <w:tcW w:w="75" w:type="dxa"/>
            <w:tcBorders/>
            <w:vAlign w:val="center"/>
          </w:tcPr>
          <w:p>
            <w:pPr>
              <w:pStyle w:val="TableContents"/>
              <w:bidi w:val="0"/>
              <w:spacing w:before="0" w:after="283"/>
              <w:jc w:val="both"/>
              <w:rPr/>
            </w:pPr>
            <w:r>
              <w:rPr/>
              <w:t> </w:t>
            </w:r>
          </w:p>
        </w:tc>
        <w:tc>
          <w:tcPr>
            <w:tcW w:w="185"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a.</w:t>
            </w:r>
          </w:p>
        </w:tc>
        <w:tc>
          <w:tcPr>
            <w:tcW w:w="9945"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the unit agreement relating to the Units (the “</w:t>
            </w:r>
            <w:r>
              <w:rPr>
                <w:rFonts w:ascii="Times New Roman;Times;Serif" w:hAnsi="Times New Roman;Times;Serif"/>
                <w:b/>
              </w:rPr>
              <w:t>Unit Agreement</w:t>
            </w:r>
            <w:r>
              <w:rPr>
                <w:rFonts w:ascii="Times New Roman;Times;Serif" w:hAnsi="Times New Roman;Times;Serif"/>
              </w:rPr>
              <w:t>”), if any, has been duly executed and delivered by the Company and each other party thereto, </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00"/>
        <w:gridCol w:w="9930"/>
      </w:tblGrid>
      <w:tr>
        <w:trPr/>
        <w:tc>
          <w:tcPr>
            <w:tcW w:w="75" w:type="dxa"/>
            <w:tcBorders/>
            <w:vAlign w:val="center"/>
          </w:tcPr>
          <w:p>
            <w:pPr>
              <w:pStyle w:val="TableContents"/>
              <w:bidi w:val="0"/>
              <w:spacing w:before="0" w:after="283"/>
              <w:jc w:val="both"/>
              <w:rPr/>
            </w:pPr>
            <w:r>
              <w:rPr/>
              <w:t> </w:t>
            </w:r>
          </w:p>
        </w:tc>
        <w:tc>
          <w:tcPr>
            <w:tcW w:w="200"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b.</w:t>
            </w:r>
          </w:p>
        </w:tc>
        <w:tc>
          <w:tcPr>
            <w:tcW w:w="9930"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the terms of the Units have been duly established in accordance with the Unit Agreement, if any, and the applicable definitive purchase agreement, underwriting agreement, or similar agreement, and </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85"/>
        <w:gridCol w:w="9945"/>
      </w:tblGrid>
      <w:tr>
        <w:trPr/>
        <w:tc>
          <w:tcPr>
            <w:tcW w:w="75" w:type="dxa"/>
            <w:tcBorders/>
            <w:vAlign w:val="center"/>
          </w:tcPr>
          <w:p>
            <w:pPr>
              <w:pStyle w:val="TableContents"/>
              <w:bidi w:val="0"/>
              <w:spacing w:before="0" w:after="283"/>
              <w:jc w:val="both"/>
              <w:rPr/>
            </w:pPr>
            <w:r>
              <w:rPr/>
              <w:t> </w:t>
            </w:r>
          </w:p>
        </w:tc>
        <w:tc>
          <w:tcPr>
            <w:tcW w:w="185"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c.</w:t>
            </w:r>
          </w:p>
        </w:tc>
        <w:tc>
          <w:tcPr>
            <w:tcW w:w="9945"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the Units have been duly executed (in the case of certificated Units) and delivered in accordance with the Unit Agreement, if any, and the applicable definitive purchase agreement, underwriting agreement, or similar agreement for the consideration provided for therein,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www.htflawyers.com | info@htflawyers.com</w:t>
      </w:r>
    </w:p>
    <w:p>
      <w:pPr>
        <w:pStyle w:val="TextBody"/>
        <w:bidi w:val="0"/>
        <w:spacing w:before="0" w:after="0"/>
        <w:ind w:left="0" w:right="0" w:hanging="0"/>
        <w:jc w:val="center"/>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950 Third Avenue, 19th Floor - New York, NY 10022 | Office: (212) 530-2210 | Fax: (212) 202-6380</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w:t>
      </w:r>
    </w:p>
    <w:p>
      <w:pPr>
        <w:pStyle w:val="TextBody"/>
        <w:bidi w:val="0"/>
        <w:spacing w:before="0" w:after="0"/>
        <w:jc w:val="center"/>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drawing>
          <wp:inline distT="0" distB="0" distL="0" distR="0">
            <wp:extent cx="2905125" cy="96202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embed="rId19"/>
                    <a:stretch>
                      <a:fillRect/>
                    </a:stretch>
                  </pic:blipFill>
                  <pic:spPr bwMode="auto">
                    <a:xfrm>
                      <a:off x="0" y="0"/>
                      <a:ext cx="2905125" cy="962025"/>
                    </a:xfrm>
                    <a:prstGeom prst="rect">
                      <a:avLst/>
                    </a:prstGeom>
                  </pic:spPr>
                </pic:pic>
              </a:graphicData>
            </a:graphic>
          </wp:inline>
        </w:drawing>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such Units will be legal, valid, and binding obligations of the Company, enforceable against the Company in accordance with their terms.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opinions expressed above are subject to the following exceptions, qualifications, limitations, and assumptions: </w:t>
      </w:r>
    </w:p>
    <w:p>
      <w:pPr>
        <w:pStyle w:val="TextBody"/>
        <w:bidi w:val="0"/>
        <w:spacing w:before="0" w:after="0"/>
        <w:ind w:left="0" w:right="0" w:hanging="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60"/>
        <w:gridCol w:w="9908"/>
      </w:tblGrid>
      <w:tr>
        <w:trPr/>
        <w:tc>
          <w:tcPr>
            <w:tcW w:w="37"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pPr>
            <w:r>
              <w:rPr/>
              <w:t>A.</w:t>
            </w:r>
          </w:p>
        </w:tc>
        <w:tc>
          <w:tcPr>
            <w:tcW w:w="9908" w:type="dxa"/>
            <w:tcBorders/>
            <w:vAlign w:val="center"/>
          </w:tcPr>
          <w:p>
            <w:pPr>
              <w:pStyle w:val="TableContents"/>
              <w:bidi w:val="0"/>
              <w:spacing w:before="0" w:after="283"/>
              <w:jc w:val="both"/>
              <w:rPr/>
            </w:pPr>
            <w:r>
              <w:rPr/>
              <w:t>We are members of the Bar of the State of New York. In rendering the opinions set forth herein, our examination of matters of law has been limited to, and we express no opinion as to the laws of any state or jurisdiction other than, (i) the applicable laws of the State of New York, (ii) the Delaware General Corporation Law (“</w:t>
            </w:r>
            <w:r>
              <w:rPr>
                <w:b/>
              </w:rPr>
              <w:t>DGCL</w:t>
            </w:r>
            <w:r>
              <w:rPr/>
              <w:t>”) as the same appear on the date hereof at http://www.delcode.state.de.us/ and (iii) the federal securities laws of the United States of America ((i), (ii) and (iii) together, “</w:t>
            </w:r>
            <w:r>
              <w:rPr>
                <w:b/>
              </w:rPr>
              <w:t>Applicable Law</w:t>
            </w:r>
            <w:r>
              <w:rPr/>
              <w:t>”). We express no opinion concerning any matters respecting or affected by any laws other than laws that a lawyer in New York exercising customary professional diligence would reasonably recognize as being directly applicable to the Company, the Securities, the Base Indentures and the transactions contemplated thereby or any of them. Without limiting the generality of the foregoing, we express no opinion herein as to any body of law of the State of Delaware other than the DGCL. When any opinion is given herein with respect to an issue where any law other than the laws of the State of New York may apply, except to the extent the DGCL or U.S. federal law would apply, the opinion assumes that consideration of the laws of such jurisdiction would lead to the same result as consideration of the laws of the State of New York. For purposes of our opinions, we have assumed that the Base Indentures and related documents are governed exclusively by the internal, substantive laws and judicial interpretations of the State of New York. We express no opinion as to any county, municipal, city, town or village ordinance, rule, regulation, or administrative decision.</w:t>
            </w:r>
          </w:p>
        </w:tc>
      </w:tr>
    </w:tbl>
    <w:p>
      <w:pPr>
        <w:pStyle w:val="TextBody"/>
        <w:bidi w:val="0"/>
        <w:spacing w:before="0" w:after="0"/>
        <w:ind w:left="720" w:right="0" w:hanging="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45"/>
        <w:gridCol w:w="9923"/>
      </w:tblGrid>
      <w:tr>
        <w:trPr/>
        <w:tc>
          <w:tcPr>
            <w:tcW w:w="37"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pPr>
            <w:r>
              <w:rPr/>
              <w:t>B.</w:t>
            </w:r>
          </w:p>
        </w:tc>
        <w:tc>
          <w:tcPr>
            <w:tcW w:w="9923" w:type="dxa"/>
            <w:tcBorders/>
            <w:vAlign w:val="center"/>
          </w:tcPr>
          <w:p>
            <w:pPr>
              <w:pStyle w:val="TableContents"/>
              <w:bidi w:val="0"/>
              <w:spacing w:before="0" w:after="283"/>
              <w:jc w:val="both"/>
              <w:rPr/>
            </w:pPr>
            <w:r>
              <w:rPr/>
              <w:t>The opinions above with respect to the Debt Securities, the Warrants, the Warrant Agreement, the Rights, any Rights Agreement, the Units, and any Unit Agreement (collectively, the “</w:t>
            </w:r>
            <w:r>
              <w:rPr>
                <w:b/>
              </w:rPr>
              <w:t>Documents</w:t>
            </w:r>
            <w:r>
              <w:rPr/>
              <w:t>”) are each subject to (i) the effect of any bankruptcy, insolvency, reorganization, moratorium, arrangement, or similar laws affecting the rights and remedies of creditors’ generally, including, without limitation, the effect of statutory or other laws regarding fraudulent transfers or preferential transfers, and (ii) general principles of equity, including, without limitation, concepts of materiality, reasonableness, good faith, and fair dealing and the possible unavailability of specific performance, injunctive relief, or other equitable remedies regardless of whether enforceability is considered in a proceeding in equity or at law.</w:t>
            </w:r>
          </w:p>
        </w:tc>
      </w:tr>
    </w:tbl>
    <w:p>
      <w:pPr>
        <w:pStyle w:val="TextBody"/>
        <w:bidi w:val="0"/>
        <w:spacing w:before="0" w:after="0"/>
        <w:ind w:left="720" w:right="0" w:hanging="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45"/>
        <w:gridCol w:w="9923"/>
      </w:tblGrid>
      <w:tr>
        <w:trPr/>
        <w:tc>
          <w:tcPr>
            <w:tcW w:w="37"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pPr>
            <w:r>
              <w:rPr/>
              <w:t>C.</w:t>
            </w:r>
          </w:p>
        </w:tc>
        <w:tc>
          <w:tcPr>
            <w:tcW w:w="9923" w:type="dxa"/>
            <w:tcBorders/>
            <w:vAlign w:val="center"/>
          </w:tcPr>
          <w:p>
            <w:pPr>
              <w:pStyle w:val="TableContents"/>
              <w:bidi w:val="0"/>
              <w:spacing w:before="0" w:after="283"/>
              <w:jc w:val="both"/>
              <w:rPr/>
            </w:pPr>
            <w:r>
              <w:rPr/>
              <w:t>We express no opinion regarding the effectiveness of (i) any waiver of stay, extension, or usury laws or of unknown future rights; (ii) any waiver (whether or not stated as such) under the Indenture or any other Document of, or any consent thereunder relating to, unknown future rights or the rights of any party thereto existing, or duties owing to it, as a matter of law; (iii) any waiver (whether or not stated as such) contained in the Base Indenture or any other Document of rights of any party, or duties owing to it, that is broadly or vaguely stated or does not describe the right or duty purportedly waived with reasonable specificity; (iv) provisions relating to indemnification, exculpation, or contribution, to the extent such provisions may be held unenforceable as contrary to public policy or federal or state securities laws or due to the negligence or willful misconduct of the indemnified party; (v) any purported fraudulent transfer “savings” clause; (vi) any provision in any Document waiving the right to object to venue in any court; (vii) any agreement to submit to the jurisdiction of any federal court; (viii) any waiver of the right to jury trial; or (ix) any provision to the effect that every right or remedy is cumulative and may be exercised in addition to any other right or remedy or that the election of some particular remedy does not preclude recourse to one or more others. </w:t>
            </w:r>
          </w:p>
        </w:tc>
      </w:tr>
    </w:tbl>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www.htflawyers.com | info@htflawyers.com</w:t>
      </w:r>
    </w:p>
    <w:p>
      <w:pPr>
        <w:pStyle w:val="TextBody"/>
        <w:bidi w:val="0"/>
        <w:spacing w:before="0" w:after="0"/>
        <w:ind w:left="0" w:right="0" w:hanging="0"/>
        <w:jc w:val="center"/>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950 Third Avenue, 19th Floor - New York, NY 10022 | Office: (212) 530-2210 | Fax: (212) 202-6380</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4</w:t>
      </w:r>
    </w:p>
    <w:p>
      <w:pPr>
        <w:pStyle w:val="TextBody"/>
        <w:bidi w:val="0"/>
        <w:spacing w:before="0" w:after="0"/>
        <w:jc w:val="center"/>
        <w:rPr/>
      </w:pPr>
      <w:r>
        <w:rPr/>
        <w:t> </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drawing>
          <wp:inline distT="0" distB="0" distL="0" distR="0">
            <wp:extent cx="2905125" cy="96202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embed="rId20"/>
                    <a:stretch>
                      <a:fillRect/>
                    </a:stretch>
                  </pic:blipFill>
                  <pic:spPr bwMode="auto">
                    <a:xfrm>
                      <a:off x="0" y="0"/>
                      <a:ext cx="2905125" cy="962025"/>
                    </a:xfrm>
                    <a:prstGeom prst="rect">
                      <a:avLst/>
                    </a:prstGeom>
                  </pic:spPr>
                </pic:pic>
              </a:graphicData>
            </a:graphic>
          </wp:inline>
        </w:drawing>
      </w:r>
    </w:p>
    <w:p>
      <w:pPr>
        <w:pStyle w:val="TextBody"/>
        <w:bidi w:val="0"/>
        <w:spacing w:before="0" w:after="0"/>
        <w:ind w:left="720" w:right="0" w:hanging="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60"/>
        <w:gridCol w:w="9908"/>
      </w:tblGrid>
      <w:tr>
        <w:trPr/>
        <w:tc>
          <w:tcPr>
            <w:tcW w:w="37"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pPr>
            <w:r>
              <w:rPr/>
              <w:t>D.</w:t>
            </w:r>
          </w:p>
        </w:tc>
        <w:tc>
          <w:tcPr>
            <w:tcW w:w="9908" w:type="dxa"/>
            <w:tcBorders/>
            <w:vAlign w:val="center"/>
          </w:tcPr>
          <w:p>
            <w:pPr>
              <w:pStyle w:val="TableContents"/>
              <w:bidi w:val="0"/>
              <w:spacing w:before="0" w:after="283"/>
              <w:jc w:val="both"/>
              <w:rPr/>
            </w:pPr>
            <w:r>
              <w:rPr/>
              <w:t>To the extent relevant to our opinions in paragraphs 2, 3, and 4 and not covered by our opinions in paragraph 1, we have assumed that any securities, currencies, or commodities underlying, comprising, or issuable upon exchange, conversion, or exercise of any Warrants, Rights or Units are validly issued, fully paid, and non-assessable (in the case of an equity security) or a legal, valid, and binding obligation of the issuer thereof, enforceable against such issuer in accordance with its terms. </w:t>
            </w:r>
          </w:p>
        </w:tc>
      </w:tr>
    </w:tbl>
    <w:p>
      <w:pPr>
        <w:pStyle w:val="TextBody"/>
        <w:bidi w:val="0"/>
        <w:spacing w:before="0" w:after="0"/>
        <w:ind w:left="0" w:right="0" w:firstLine="49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You have informed us that you intend to issue Securities from time to time on a delayed or continuous basis, and we understand that prior to issuing any Securities pursuant to the Registration Statement (i) you will advise us in writing of the terms thereof, and (ii) you will afford us an opportunity to (x) review the operative documents pursuant to which such Securities are to be issued or sold (including the applicable offering documents), and (y) file such supplement or amendment to this opinion (if any) as we may reasonably consider necessary or appropriate. </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consent to the filing of this opinion letter as an exhibit to the Registration Statement, and we further consent to the use of our name under the heading “Legal Matters” in the Registration Statement and the prospectus that forms a part thereof. In giving these consents, we do not thereby admit that we are within the category of persons whose consent is required under Section 7 of the Securities Act or the rules and regulations of the Commission promulgated thereunder.</w:t>
      </w:r>
    </w:p>
    <w:p>
      <w:pPr>
        <w:pStyle w:val="TextBody"/>
        <w:bidi w:val="0"/>
        <w:spacing w:before="0" w:after="0"/>
        <w:ind w:left="0" w:right="0" w:hanging="0"/>
        <w:jc w:val="both"/>
        <w:rPr>
          <w:caps w:val="false"/>
          <w:smallCaps w:val="false"/>
        </w:rPr>
      </w:pPr>
      <w:r>
        <w:rPr>
          <w:caps w:val="false"/>
          <w:smallCaps w:val="false"/>
        </w:rPr>
        <w:t> </w:t>
      </w:r>
    </w:p>
    <w:tbl>
      <w:tblPr>
        <w:tblW w:w="3590" w:type="dxa"/>
        <w:jc w:val="left"/>
        <w:tblInd w:w="0" w:type="dxa"/>
        <w:tblLayout w:type="fixed"/>
        <w:tblCellMar>
          <w:top w:w="0" w:type="dxa"/>
          <w:left w:w="0" w:type="dxa"/>
          <w:bottom w:w="0" w:type="dxa"/>
          <w:right w:w="0" w:type="dxa"/>
        </w:tblCellMar>
      </w:tblPr>
      <w:tblGrid>
        <w:gridCol w:w="75"/>
        <w:gridCol w:w="3515"/>
      </w:tblGrid>
      <w:tr>
        <w:trPr/>
        <w:tc>
          <w:tcPr>
            <w:tcW w:w="75" w:type="dxa"/>
            <w:tcBorders/>
            <w:vAlign w:val="center"/>
          </w:tcPr>
          <w:p>
            <w:pPr>
              <w:pStyle w:val="TableContents"/>
              <w:bidi w:val="0"/>
              <w:spacing w:before="0" w:after="283"/>
              <w:jc w:val="left"/>
              <w:rPr/>
            </w:pPr>
            <w:r>
              <w:rPr/>
              <w:t> </w:t>
            </w:r>
          </w:p>
        </w:tc>
        <w:tc>
          <w:tcPr>
            <w:tcW w:w="3515" w:type="dxa"/>
            <w:tcBorders/>
            <w:vAlign w:val="center"/>
          </w:tcPr>
          <w:p>
            <w:pPr>
              <w:pStyle w:val="TableContents"/>
              <w:bidi w:val="0"/>
              <w:spacing w:before="0" w:after="283"/>
              <w:jc w:val="left"/>
              <w:rPr>
                <w:sz w:val="20"/>
              </w:rPr>
            </w:pPr>
            <w:r>
              <w:rPr>
                <w:sz w:val="20"/>
              </w:rPr>
              <w:t>Yours truly,</w:t>
            </w:r>
          </w:p>
        </w:tc>
      </w:tr>
      <w:tr>
        <w:trPr/>
        <w:tc>
          <w:tcPr>
            <w:tcW w:w="75" w:type="dxa"/>
            <w:tcBorders/>
            <w:vAlign w:val="center"/>
          </w:tcPr>
          <w:p>
            <w:pPr>
              <w:pStyle w:val="TableContents"/>
              <w:bidi w:val="0"/>
              <w:spacing w:before="0" w:after="283"/>
              <w:jc w:val="left"/>
              <w:rPr/>
            </w:pPr>
            <w:r>
              <w:rPr/>
              <w:t> </w:t>
            </w:r>
          </w:p>
        </w:tc>
        <w:tc>
          <w:tcPr>
            <w:tcW w:w="351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3515" w:type="dxa"/>
            <w:tcBorders>
              <w:bottom w:val="single" w:sz="12" w:space="0" w:color="000000"/>
            </w:tcBorders>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 Hunter Taubman Fischer &amp; Li LLC</w:t>
            </w:r>
          </w:p>
        </w:tc>
      </w:tr>
      <w:tr>
        <w:trPr/>
        <w:tc>
          <w:tcPr>
            <w:tcW w:w="75" w:type="dxa"/>
            <w:tcBorders/>
            <w:vAlign w:val="center"/>
          </w:tcPr>
          <w:p>
            <w:pPr>
              <w:pStyle w:val="TableContents"/>
              <w:bidi w:val="0"/>
              <w:spacing w:before="0" w:after="283"/>
              <w:jc w:val="left"/>
              <w:rPr/>
            </w:pPr>
            <w:r>
              <w:rPr/>
              <w:t> </w:t>
            </w:r>
          </w:p>
        </w:tc>
        <w:tc>
          <w:tcPr>
            <w:tcW w:w="351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HUNTER TAUBMAN FISCHER &amp; LI LLC</w:t>
            </w:r>
          </w:p>
        </w:tc>
      </w:tr>
    </w:tbl>
    <w:p>
      <w:pPr>
        <w:pStyle w:val="TextBody"/>
        <w:bidi w:val="0"/>
        <w:spacing w:before="0" w:after="0"/>
        <w:ind w:left="3960" w:right="0" w:firstLine="72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www.htflawyers.com | info@htflawyers.com</w:t>
      </w:r>
    </w:p>
    <w:p>
      <w:pPr>
        <w:pStyle w:val="TextBody"/>
        <w:bidi w:val="0"/>
        <w:spacing w:before="0" w:after="0"/>
        <w:ind w:left="0" w:right="0" w:hanging="0"/>
        <w:jc w:val="center"/>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950 Third Avenue, 19th Floor - New York, NY 10022 | Office: (212) 530-2210 | Fax: (212) 202-6380</w:t>
      </w:r>
    </w:p>
    <w:p>
      <w:pPr>
        <w:pStyle w:val="TextBody"/>
        <w:bidi w:val="0"/>
        <w:spacing w:before="0" w:after="0"/>
        <w:ind w:left="3960" w:right="0" w:firstLine="72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5</w:t>
      </w:r>
    </w:p>
    <w:p>
      <w:pPr>
        <w:pStyle w:val="TextBody"/>
        <w:bidi w:val="0"/>
        <w:spacing w:before="0" w:after="283"/>
        <w:jc w:val="left"/>
        <w:rPr/>
      </w:pPr>
      <w:r>
        <w:rPr/>
        <w:t> </w:t>
      </w:r>
    </w:p>
    <w:p>
      <w:pPr>
        <w:pStyle w:val="TextBody"/>
        <w:bidi w:val="0"/>
        <w:spacing w:before="0" w:after="0"/>
        <w:ind w:left="0" w:right="0" w:hanging="0"/>
        <w:jc w:val="right"/>
        <w:rPr>
          <w:rFonts w:ascii="Times New Roman;Times;Serif" w:hAnsi="Times New Roman;Times;Serif"/>
          <w:b/>
          <w:i w:val="false"/>
          <w:caps w:val="false"/>
          <w:smallCaps w:val="false"/>
          <w:sz w:val="20"/>
        </w:rPr>
      </w:pPr>
      <w:bookmarkStart w:id="209" w:name="ea030223901ex23-1.htm"/>
      <w:bookmarkStart w:id="210" w:name="ksea030223901ex231"/>
      <w:bookmarkEnd w:id="209"/>
      <w:bookmarkEnd w:id="210"/>
      <w:r>
        <w:rPr>
          <w:rFonts w:ascii="Times New Roman;Times;Serif" w:hAnsi="Times New Roman;Times;Serif"/>
          <w:b/>
          <w:i w:val="false"/>
          <w:caps w:val="false"/>
          <w:smallCaps w:val="false"/>
          <w:sz w:val="20"/>
        </w:rPr>
        <w:t>Exhibit 23.1</w:t>
      </w:r>
      <w:r>
        <w:br w:type="page"/>
      </w:r>
    </w:p>
    <w:p>
      <w:pPr>
        <w:pStyle w:val="TextBody"/>
        <w:bidi w:val="0"/>
        <w:spacing w:before="0" w:after="0"/>
        <w:ind w:left="0" w:right="0" w:hanging="0"/>
        <w:jc w:val="center"/>
        <w:rPr>
          <w:caps/>
        </w:rPr>
      </w:pPr>
      <w:r>
        <w:rPr>
          <w:caps/>
        </w:rPr>
        <w:t> </w:t>
      </w:r>
    </w:p>
    <w:p>
      <w:pPr>
        <w:pStyle w:val="TextBody"/>
        <w:bidi w:val="0"/>
        <w:spacing w:before="0" w:after="0"/>
        <w:ind w:left="0" w:right="0" w:hanging="0"/>
        <w:jc w:val="center"/>
        <w:rPr>
          <w:caps/>
        </w:rPr>
      </w:pPr>
      <w:r>
        <w:rPr>
          <w:caps/>
        </w:rPr>
        <w:drawing>
          <wp:inline distT="0" distB="0" distL="0" distR="0">
            <wp:extent cx="2181225" cy="342900"/>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embed="rId21"/>
                    <a:stretch>
                      <a:fillRect/>
                    </a:stretch>
                  </pic:blipFill>
                  <pic:spPr bwMode="auto">
                    <a:xfrm>
                      <a:off x="0" y="0"/>
                      <a:ext cx="2181225" cy="342900"/>
                    </a:xfrm>
                    <a:prstGeom prst="rect">
                      <a:avLst/>
                    </a:prstGeom>
                  </pic:spPr>
                </pic:pic>
              </a:graphicData>
            </a:graphic>
          </wp:inline>
        </w:drawing>
      </w:r>
    </w:p>
    <w:p>
      <w:pPr>
        <w:pStyle w:val="TextBody"/>
        <w:bidi w:val="0"/>
        <w:spacing w:before="0" w:after="0"/>
        <w:ind w:left="0" w:right="0" w:hanging="0"/>
        <w:jc w:val="center"/>
        <w:rPr>
          <w:caps/>
        </w:rPr>
      </w:pPr>
      <w:r>
        <w:rPr>
          <w:caps/>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INDEPENDENT REGISTERED PUBLIC ACCOUNTING FIRM’S CONSENT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consent to the incorporation by reference in this Registration Statement on Forms S-3 of our report dated March 27, 2026 relating to the financial statements appearing in the Annual Report on Form 20-F of Niki BioSolutions, Inc. for the three years ended December 31, 2025. We also consent to the reference to us under the heading “Experts” in such Registration Statement.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Marcum Asia CPAs LLP</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Guangzhou, China</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August 27,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i w:val="false"/>
          <w:caps w:val="false"/>
          <w:smallCaps w:val="false"/>
          <w:sz w:val="20"/>
        </w:rPr>
      </w:pPr>
      <w:bookmarkStart w:id="211" w:name="ea030223901ex23-2.htm"/>
      <w:bookmarkStart w:id="212" w:name="ksea030223901ex232"/>
      <w:bookmarkEnd w:id="211"/>
      <w:bookmarkEnd w:id="212"/>
      <w:r>
        <w:rPr>
          <w:rFonts w:ascii="Times New Roman;Times;Serif" w:hAnsi="Times New Roman;Times;Serif"/>
          <w:b/>
          <w:i w:val="false"/>
          <w:caps w:val="false"/>
          <w:smallCaps w:val="false"/>
          <w:sz w:val="20"/>
        </w:rPr>
        <w:t>Exhibit 23.2</w:t>
      </w:r>
      <w:r>
        <w:br w:type="page"/>
      </w:r>
    </w:p>
    <w:p>
      <w:pPr>
        <w:pStyle w:val="TextBody"/>
        <w:bidi w:val="0"/>
        <w:spacing w:before="0" w:after="0"/>
        <w:ind w:left="0" w:right="0" w:hanging="0"/>
        <w:jc w:val="center"/>
        <w:rPr>
          <w:caps/>
        </w:rPr>
      </w:pPr>
      <w:r>
        <w:rPr>
          <w:caps/>
        </w:rPr>
        <w:t> </w:t>
      </w:r>
    </w:p>
    <w:p>
      <w:pPr>
        <w:pStyle w:val="TextBody"/>
        <w:bidi w:val="0"/>
        <w:spacing w:before="0" w:after="0"/>
        <w:ind w:left="0" w:right="0" w:hanging="0"/>
        <w:jc w:val="center"/>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CONSENT OF INDEPENDENT REGISTERED PUBLIC ACCOUNTING FIRM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consent to the incorporation by reference in this Registration Statement on Form S-3 of our report dated August 21, 2026 with respect to the financial statements of DiamiR Biosciences Corp. included in the Current Report on Form 8-K/A of Niki BioSolutions, Inc. dated August 21, 2026. We also consent to the reference to us under the heading “Experts” in such Registration Statement.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 </w:t>
      </w:r>
      <w:r>
        <w:rPr>
          <w:rFonts w:ascii="Times New Roman;Times;Serif" w:hAnsi="Times New Roman;Times;Serif"/>
          <w:b w:val="false"/>
          <w:i w:val="false"/>
          <w:smallCaps/>
          <w:sz w:val="20"/>
        </w:rPr>
        <w:t>CBIZ CPAs P.C.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New York, New York</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August 27, 2026</w:t>
      </w:r>
    </w:p>
    <w:p>
      <w:pPr>
        <w:pStyle w:val="Normal"/>
        <w:bidi w:val="0"/>
        <w:spacing w:before="0" w:after="0"/>
        <w:jc w:val="left"/>
        <w:rPr>
          <w:sz w:val="4"/>
          <w:szCs w:val="4"/>
        </w:rPr>
      </w:pPr>
      <w:r>
        <w:rPr>
          <w:sz w:val="4"/>
          <w:szCs w:val="4"/>
        </w:rPr>
      </w:r>
      <w:bookmarkStart w:id="213" w:name="ea030223901ex-fee.htm"/>
      <w:bookmarkStart w:id="214" w:name="ksea030223901exfee"/>
      <w:bookmarkStart w:id="215" w:name="ea030223901ex-fee.htm"/>
      <w:bookmarkStart w:id="216" w:name="ksea030223901exfee"/>
      <w:bookmarkEnd w:id="215"/>
      <w:bookmarkEnd w:id="216"/>
      <w:r>
        <w:br w:type="page"/>
      </w:r>
    </w:p>
    <w:tbl>
      <w:tblPr>
        <w:tblW w:w="3573" w:type="dxa"/>
        <w:jc w:val="left"/>
        <w:tblInd w:w="0" w:type="dxa"/>
        <w:tblLayout w:type="fixed"/>
        <w:tblCellMar>
          <w:top w:w="28" w:type="dxa"/>
          <w:left w:w="28" w:type="dxa"/>
          <w:bottom w:w="28" w:type="dxa"/>
          <w:right w:w="28" w:type="dxa"/>
        </w:tblCellMar>
      </w:tblPr>
      <w:tblGrid>
        <w:gridCol w:w="3419"/>
        <w:gridCol w:w="154"/>
      </w:tblGrid>
      <w:tr>
        <w:trPr/>
        <w:tc>
          <w:tcPr>
            <w:tcW w:w="3573" w:type="dxa"/>
            <w:gridSpan w:val="2"/>
            <w:tcBorders/>
            <w:vAlign w:val="center"/>
          </w:tcPr>
          <w:p>
            <w:pPr>
              <w:pStyle w:val="TableContents"/>
              <w:bidi w:val="0"/>
              <w:spacing w:before="0" w:after="283"/>
              <w:jc w:val="left"/>
              <w:rPr/>
            </w:pPr>
            <w:r>
              <w:rPr>
                <w:b/>
              </w:rPr>
              <w:t>Calculation of Filing Fee Tables</w:t>
            </w:r>
            <w:r>
              <w:rPr/>
              <w:t xml:space="preserve"> </w:t>
            </w:r>
          </w:p>
        </w:tc>
      </w:tr>
      <w:tr>
        <w:trPr/>
        <w:tc>
          <w:tcPr>
            <w:tcW w:w="3419" w:type="dxa"/>
            <w:tcBorders/>
            <w:vAlign w:val="center"/>
          </w:tcPr>
          <w:p>
            <w:pPr>
              <w:pStyle w:val="TableContents"/>
              <w:bidi w:val="0"/>
              <w:spacing w:before="0" w:after="283"/>
              <w:jc w:val="left"/>
              <w:rPr>
                <w:b/>
              </w:rPr>
            </w:pPr>
            <w:r>
              <w:rPr>
                <w:b/>
              </w:rPr>
              <w:t xml:space="preserve">S-3 </w:t>
            </w:r>
          </w:p>
        </w:tc>
        <w:tc>
          <w:tcPr>
            <w:tcW w:w="154" w:type="dxa"/>
            <w:tcBorders/>
          </w:tcPr>
          <w:p>
            <w:pPr>
              <w:pStyle w:val="TableContents"/>
              <w:bidi w:val="0"/>
              <w:spacing w:before="0" w:after="283"/>
              <w:jc w:val="left"/>
              <w:rPr>
                <w:sz w:val="4"/>
                <w:szCs w:val="4"/>
              </w:rPr>
            </w:pPr>
            <w:r>
              <w:rPr>
                <w:sz w:val="4"/>
                <w:szCs w:val="4"/>
              </w:rPr>
            </w:r>
          </w:p>
        </w:tc>
      </w:tr>
      <w:tr>
        <w:trPr/>
        <w:tc>
          <w:tcPr>
            <w:tcW w:w="3419" w:type="dxa"/>
            <w:tcBorders/>
            <w:vAlign w:val="center"/>
          </w:tcPr>
          <w:p>
            <w:pPr>
              <w:pStyle w:val="TableContents"/>
              <w:bidi w:val="0"/>
              <w:spacing w:before="0" w:after="283"/>
              <w:jc w:val="left"/>
              <w:rPr>
                <w:b/>
              </w:rPr>
            </w:pPr>
            <w:r>
              <w:rPr>
                <w:b/>
              </w:rPr>
              <w:t xml:space="preserve">Niki BioSolutions, Inc. </w:t>
            </w:r>
          </w:p>
        </w:tc>
        <w:tc>
          <w:tcPr>
            <w:tcW w:w="154" w:type="dxa"/>
            <w:tcBorders/>
          </w:tcPr>
          <w:p>
            <w:pPr>
              <w:pStyle w:val="TableContents"/>
              <w:bidi w:val="0"/>
              <w:spacing w:before="0" w:after="283"/>
              <w:jc w:val="left"/>
              <w:rPr>
                <w:sz w:val="4"/>
                <w:szCs w:val="4"/>
              </w:rPr>
            </w:pPr>
            <w:r>
              <w:rPr>
                <w:sz w:val="4"/>
                <w:szCs w:val="4"/>
              </w:rPr>
            </w:r>
          </w:p>
        </w:tc>
      </w:tr>
    </w:tbl>
    <w:tbl>
      <w:tblPr>
        <w:tblW w:w="7967" w:type="dxa"/>
        <w:jc w:val="left"/>
        <w:tblInd w:w="0" w:type="dxa"/>
        <w:tblLayout w:type="fixed"/>
        <w:tblCellMar>
          <w:top w:w="28" w:type="dxa"/>
          <w:left w:w="28" w:type="dxa"/>
          <w:bottom w:w="28" w:type="dxa"/>
          <w:right w:w="28" w:type="dxa"/>
        </w:tblCellMar>
      </w:tblPr>
      <w:tblGrid>
        <w:gridCol w:w="6016"/>
        <w:gridCol w:w="1951"/>
      </w:tblGrid>
      <w:tr>
        <w:trPr/>
        <w:tc>
          <w:tcPr>
            <w:tcW w:w="6016" w:type="dxa"/>
            <w:tcBorders/>
            <w:vAlign w:val="center"/>
          </w:tcPr>
          <w:p>
            <w:pPr>
              <w:pStyle w:val="TableHeading"/>
              <w:bidi w:val="0"/>
              <w:spacing w:before="0" w:after="283"/>
              <w:jc w:val="left"/>
              <w:rPr/>
            </w:pPr>
            <w:r>
              <w:rPr>
                <w:b/>
              </w:rPr>
              <w:t>Table 1: Newly Registered and Carry Forward Securities</w:t>
            </w:r>
            <w:r>
              <w:rPr/>
              <w:t xml:space="preserve"> </w:t>
            </w:r>
          </w:p>
        </w:tc>
        <w:tc>
          <w:tcPr>
            <w:tcW w:w="1951" w:type="dxa"/>
            <w:tcBorders/>
            <w:vAlign w:val="center"/>
          </w:tcPr>
          <w:p>
            <w:pPr>
              <w:pStyle w:val="TableHeading"/>
              <w:bidi w:val="0"/>
              <w:spacing w:before="0" w:after="283"/>
              <w:jc w:val="right"/>
              <w:rPr/>
            </w:pPr>
            <w:r>
              <w:rPr/>
              <w:t>☐</w:t>
            </w:r>
            <w:r>
              <w:rPr/>
              <w:t xml:space="preserve">Not Applicable </w:t>
            </w:r>
          </w:p>
        </w:tc>
      </w:tr>
    </w:tbl>
    <w:tbl>
      <w:tblPr>
        <w:tblW w:w="16049" w:type="dxa"/>
        <w:jc w:val="left"/>
        <w:tblInd w:w="0" w:type="dxa"/>
        <w:tblLayout w:type="fixed"/>
        <w:tblCellMar>
          <w:top w:w="28" w:type="dxa"/>
          <w:left w:w="28" w:type="dxa"/>
          <w:bottom w:w="28" w:type="dxa"/>
          <w:right w:w="28" w:type="dxa"/>
        </w:tblCellMar>
      </w:tblPr>
      <w:tblGrid>
        <w:gridCol w:w="1126"/>
        <w:gridCol w:w="226"/>
        <w:gridCol w:w="1246"/>
        <w:gridCol w:w="1306"/>
        <w:gridCol w:w="1276"/>
        <w:gridCol w:w="1186"/>
        <w:gridCol w:w="1156"/>
        <w:gridCol w:w="1666"/>
        <w:gridCol w:w="1126"/>
        <w:gridCol w:w="1351"/>
        <w:gridCol w:w="1021"/>
        <w:gridCol w:w="1021"/>
        <w:gridCol w:w="1021"/>
        <w:gridCol w:w="1321"/>
      </w:tblGrid>
      <w:tr>
        <w:trPr/>
        <w:tc>
          <w:tcPr>
            <w:tcW w:w="1126" w:type="dxa"/>
            <w:tcBorders/>
            <w:shd w:fill="9ADAF6" w:val="clear"/>
            <w:vAlign w:val="center"/>
          </w:tcPr>
          <w:p>
            <w:pPr>
              <w:pStyle w:val="TableHeading"/>
              <w:bidi w:val="0"/>
              <w:spacing w:before="0" w:after="283"/>
              <w:rPr>
                <w:sz w:val="4"/>
                <w:szCs w:val="4"/>
              </w:rPr>
            </w:pPr>
            <w:r>
              <w:rPr>
                <w:sz w:val="4"/>
                <w:szCs w:val="4"/>
              </w:rPr>
            </w:r>
          </w:p>
        </w:tc>
        <w:tc>
          <w:tcPr>
            <w:tcW w:w="226" w:type="dxa"/>
            <w:tcBorders/>
            <w:shd w:fill="9ADAF6" w:val="clear"/>
            <w:vAlign w:val="center"/>
          </w:tcPr>
          <w:p>
            <w:pPr>
              <w:pStyle w:val="TableHeading"/>
              <w:bidi w:val="0"/>
              <w:spacing w:before="0" w:after="283"/>
              <w:rPr>
                <w:sz w:val="4"/>
                <w:szCs w:val="4"/>
              </w:rPr>
            </w:pPr>
            <w:r>
              <w:rPr>
                <w:sz w:val="4"/>
                <w:szCs w:val="4"/>
              </w:rPr>
            </w:r>
          </w:p>
        </w:tc>
        <w:tc>
          <w:tcPr>
            <w:tcW w:w="1246" w:type="dxa"/>
            <w:tcBorders/>
            <w:shd w:fill="9ADAF6" w:val="clear"/>
            <w:vAlign w:val="center"/>
          </w:tcPr>
          <w:p>
            <w:pPr>
              <w:pStyle w:val="TableHeading"/>
              <w:bidi w:val="0"/>
              <w:spacing w:before="0" w:after="0"/>
              <w:ind w:left="0" w:right="0" w:hanging="0"/>
              <w:jc w:val="center"/>
              <w:rPr/>
            </w:pPr>
            <w:r>
              <w:rPr>
                <w:b/>
              </w:rPr>
              <w:t>Security Type</w:t>
            </w:r>
            <w:r>
              <w:rPr/>
              <w:t xml:space="preserve"> </w:t>
            </w:r>
          </w:p>
        </w:tc>
        <w:tc>
          <w:tcPr>
            <w:tcW w:w="1306" w:type="dxa"/>
            <w:tcBorders/>
            <w:shd w:fill="9ADAF6" w:val="clear"/>
            <w:vAlign w:val="center"/>
          </w:tcPr>
          <w:p>
            <w:pPr>
              <w:pStyle w:val="TableHeading"/>
              <w:bidi w:val="0"/>
              <w:spacing w:before="0" w:after="0"/>
              <w:ind w:left="0" w:right="0" w:hanging="0"/>
              <w:jc w:val="center"/>
              <w:rPr>
                <w:b/>
              </w:rPr>
            </w:pPr>
            <w:r>
              <w:rPr>
                <w:b/>
              </w:rPr>
              <w:t xml:space="preserve">Security Class Title </w:t>
            </w:r>
          </w:p>
        </w:tc>
        <w:tc>
          <w:tcPr>
            <w:tcW w:w="1276" w:type="dxa"/>
            <w:tcBorders/>
            <w:shd w:fill="9ADAF6" w:val="clear"/>
            <w:vAlign w:val="center"/>
          </w:tcPr>
          <w:p>
            <w:pPr>
              <w:pStyle w:val="TableHeading"/>
              <w:bidi w:val="0"/>
              <w:spacing w:before="0" w:after="0"/>
              <w:ind w:left="0" w:right="0" w:hanging="0"/>
              <w:jc w:val="center"/>
              <w:rPr/>
            </w:pPr>
            <w:r>
              <w:rPr>
                <w:b/>
              </w:rPr>
              <w:t>Fee Calculation or Carry Forward Rule</w:t>
            </w:r>
            <w:r>
              <w:rPr/>
              <w:t xml:space="preserve"> </w:t>
            </w:r>
          </w:p>
        </w:tc>
        <w:tc>
          <w:tcPr>
            <w:tcW w:w="1186" w:type="dxa"/>
            <w:tcBorders/>
            <w:shd w:fill="9ADAF6" w:val="clear"/>
            <w:vAlign w:val="center"/>
          </w:tcPr>
          <w:p>
            <w:pPr>
              <w:pStyle w:val="TableHeading"/>
              <w:bidi w:val="0"/>
              <w:spacing w:before="0" w:after="0"/>
              <w:ind w:left="0" w:right="0" w:hanging="0"/>
              <w:jc w:val="center"/>
              <w:rPr/>
            </w:pPr>
            <w:r>
              <w:rPr>
                <w:b/>
              </w:rPr>
              <w:t>Amount Registered</w:t>
            </w:r>
            <w:r>
              <w:rPr/>
              <w:t xml:space="preserve"> </w:t>
            </w:r>
          </w:p>
        </w:tc>
        <w:tc>
          <w:tcPr>
            <w:tcW w:w="1156" w:type="dxa"/>
            <w:tcBorders/>
            <w:shd w:fill="9ADAF6" w:val="clear"/>
            <w:vAlign w:val="center"/>
          </w:tcPr>
          <w:p>
            <w:pPr>
              <w:pStyle w:val="TableHeading"/>
              <w:bidi w:val="0"/>
              <w:spacing w:before="0" w:after="0"/>
              <w:ind w:left="0" w:right="0" w:hanging="0"/>
              <w:jc w:val="center"/>
              <w:rPr/>
            </w:pPr>
            <w:r>
              <w:rPr>
                <w:b/>
              </w:rPr>
              <w:t>Proposed Maximum Offering Price Per Unit</w:t>
            </w:r>
            <w:r>
              <w:rPr/>
              <w:t xml:space="preserve"> </w:t>
            </w:r>
          </w:p>
        </w:tc>
        <w:tc>
          <w:tcPr>
            <w:tcW w:w="1666" w:type="dxa"/>
            <w:tcBorders/>
            <w:shd w:fill="9ADAF6" w:val="clear"/>
            <w:vAlign w:val="center"/>
          </w:tcPr>
          <w:p>
            <w:pPr>
              <w:pStyle w:val="TableHeading"/>
              <w:bidi w:val="0"/>
              <w:spacing w:before="0" w:after="0"/>
              <w:ind w:left="0" w:right="0" w:hanging="0"/>
              <w:jc w:val="center"/>
              <w:rPr/>
            </w:pPr>
            <w:r>
              <w:rPr>
                <w:b/>
              </w:rPr>
              <w:t>Maximum Aggregate Offering Price</w:t>
            </w:r>
            <w:r>
              <w:rPr/>
              <w:t xml:space="preserve"> </w:t>
            </w:r>
          </w:p>
        </w:tc>
        <w:tc>
          <w:tcPr>
            <w:tcW w:w="1126" w:type="dxa"/>
            <w:tcBorders/>
            <w:shd w:fill="9ADAF6" w:val="clear"/>
            <w:vAlign w:val="center"/>
          </w:tcPr>
          <w:p>
            <w:pPr>
              <w:pStyle w:val="TableHeading"/>
              <w:bidi w:val="0"/>
              <w:spacing w:before="0" w:after="0"/>
              <w:ind w:left="0" w:right="0" w:hanging="0"/>
              <w:jc w:val="center"/>
              <w:rPr/>
            </w:pPr>
            <w:r>
              <w:rPr>
                <w:b/>
              </w:rPr>
              <w:t>Fee Rate</w:t>
            </w:r>
            <w:r>
              <w:rPr/>
              <w:t xml:space="preserve"> </w:t>
            </w:r>
          </w:p>
        </w:tc>
        <w:tc>
          <w:tcPr>
            <w:tcW w:w="1351" w:type="dxa"/>
            <w:tcBorders/>
            <w:shd w:fill="9ADAF6" w:val="clear"/>
            <w:vAlign w:val="center"/>
          </w:tcPr>
          <w:p>
            <w:pPr>
              <w:pStyle w:val="TableHeading"/>
              <w:bidi w:val="0"/>
              <w:spacing w:before="0" w:after="0"/>
              <w:ind w:left="0" w:right="0" w:hanging="0"/>
              <w:jc w:val="center"/>
              <w:rPr/>
            </w:pPr>
            <w:r>
              <w:rPr>
                <w:b/>
              </w:rPr>
              <w:t>Amount of Registration Fee</w:t>
            </w:r>
            <w:r>
              <w:rPr/>
              <w:t xml:space="preserve"> </w:t>
            </w:r>
          </w:p>
        </w:tc>
        <w:tc>
          <w:tcPr>
            <w:tcW w:w="1021" w:type="dxa"/>
            <w:tcBorders/>
            <w:shd w:fill="9ADAF6" w:val="clear"/>
            <w:vAlign w:val="center"/>
          </w:tcPr>
          <w:p>
            <w:pPr>
              <w:pStyle w:val="TableHeading"/>
              <w:bidi w:val="0"/>
              <w:spacing w:before="0" w:after="0"/>
              <w:ind w:left="0" w:right="0" w:hanging="0"/>
              <w:jc w:val="center"/>
              <w:rPr/>
            </w:pPr>
            <w:r>
              <w:rPr>
                <w:b/>
              </w:rPr>
              <w:t>Carry Forward Form Type</w:t>
            </w:r>
            <w:r>
              <w:rPr/>
              <w:t xml:space="preserve"> </w:t>
            </w:r>
          </w:p>
        </w:tc>
        <w:tc>
          <w:tcPr>
            <w:tcW w:w="1021" w:type="dxa"/>
            <w:tcBorders/>
            <w:shd w:fill="9ADAF6" w:val="clear"/>
            <w:vAlign w:val="center"/>
          </w:tcPr>
          <w:p>
            <w:pPr>
              <w:pStyle w:val="TableHeading"/>
              <w:bidi w:val="0"/>
              <w:spacing w:before="0" w:after="0"/>
              <w:ind w:left="0" w:right="0" w:hanging="0"/>
              <w:jc w:val="center"/>
              <w:rPr/>
            </w:pPr>
            <w:r>
              <w:rPr>
                <w:b/>
              </w:rPr>
              <w:t>Carry Forward File Number</w:t>
            </w:r>
            <w:r>
              <w:rPr/>
              <w:t xml:space="preserve"> </w:t>
            </w:r>
          </w:p>
        </w:tc>
        <w:tc>
          <w:tcPr>
            <w:tcW w:w="1021" w:type="dxa"/>
            <w:tcBorders/>
            <w:shd w:fill="9ADAF6" w:val="clear"/>
            <w:vAlign w:val="center"/>
          </w:tcPr>
          <w:p>
            <w:pPr>
              <w:pStyle w:val="TableHeading"/>
              <w:bidi w:val="0"/>
              <w:spacing w:before="0" w:after="0"/>
              <w:ind w:left="0" w:right="0" w:hanging="0"/>
              <w:jc w:val="center"/>
              <w:rPr/>
            </w:pPr>
            <w:r>
              <w:rPr>
                <w:b/>
              </w:rPr>
              <w:t>Carry Forward Initial Effective Date</w:t>
            </w:r>
            <w:r>
              <w:rPr/>
              <w:t xml:space="preserve"> </w:t>
            </w:r>
          </w:p>
        </w:tc>
        <w:tc>
          <w:tcPr>
            <w:tcW w:w="1321" w:type="dxa"/>
            <w:tcBorders/>
            <w:shd w:fill="9ADAF6" w:val="clear"/>
            <w:vAlign w:val="center"/>
          </w:tcPr>
          <w:p>
            <w:pPr>
              <w:pStyle w:val="TableHeading"/>
              <w:bidi w:val="0"/>
              <w:spacing w:before="0" w:after="0"/>
              <w:ind w:left="0" w:right="0" w:hanging="0"/>
              <w:jc w:val="center"/>
              <w:rPr/>
            </w:pPr>
            <w:r>
              <w:rPr>
                <w:b/>
              </w:rPr>
              <w:t>Filing Fee Previously Paid in Connection with Unsold Securities to be Carried Forward</w:t>
            </w:r>
            <w:r>
              <w:rPr/>
              <w:t xml:space="preserve"> </w:t>
            </w:r>
          </w:p>
        </w:tc>
      </w:tr>
      <w:tr>
        <w:trPr/>
        <w:tc>
          <w:tcPr>
            <w:tcW w:w="16049" w:type="dxa"/>
            <w:gridSpan w:val="14"/>
            <w:tcBorders/>
            <w:vAlign w:val="center"/>
          </w:tcPr>
          <w:p>
            <w:pPr>
              <w:pStyle w:val="TableContents"/>
              <w:bidi w:val="0"/>
              <w:spacing w:before="0" w:after="283"/>
              <w:jc w:val="center"/>
              <w:rPr/>
            </w:pPr>
            <w:r>
              <w:rPr>
                <w:b/>
              </w:rPr>
              <w:t>Newly Registered Securities</w:t>
            </w:r>
            <w:r>
              <w:rPr/>
              <w:t xml:space="preserve"> </w:t>
            </w:r>
          </w:p>
        </w:tc>
      </w:tr>
      <w:tr>
        <w:trPr/>
        <w:tc>
          <w:tcPr>
            <w:tcW w:w="1126" w:type="dxa"/>
            <w:tcBorders/>
            <w:shd w:fill="E7E7E2" w:val="clear"/>
            <w:vAlign w:val="center"/>
          </w:tcPr>
          <w:p>
            <w:pPr>
              <w:pStyle w:val="TableContents"/>
              <w:bidi w:val="0"/>
              <w:spacing w:before="0" w:after="283"/>
              <w:jc w:val="left"/>
              <w:rPr/>
            </w:pPr>
            <w:r>
              <w:rPr/>
              <w:t xml:space="preserve">Fees to be Paid </w:t>
            </w:r>
          </w:p>
        </w:tc>
        <w:tc>
          <w:tcPr>
            <w:tcW w:w="226" w:type="dxa"/>
            <w:tcBorders/>
            <w:shd w:fill="E7E7E2" w:val="clear"/>
            <w:vAlign w:val="center"/>
          </w:tcPr>
          <w:p>
            <w:pPr>
              <w:pStyle w:val="TableContents"/>
              <w:bidi w:val="0"/>
              <w:spacing w:before="0" w:after="283"/>
              <w:jc w:val="left"/>
              <w:rPr>
                <w:sz w:val="4"/>
                <w:szCs w:val="4"/>
              </w:rPr>
            </w:pPr>
            <w:r>
              <w:rPr>
                <w:sz w:val="4"/>
                <w:szCs w:val="4"/>
              </w:rPr>
            </w:r>
          </w:p>
        </w:tc>
        <w:tc>
          <w:tcPr>
            <w:tcW w:w="1246" w:type="dxa"/>
            <w:tcBorders/>
            <w:shd w:fill="E7E7E2" w:val="clear"/>
            <w:vAlign w:val="center"/>
          </w:tcPr>
          <w:p>
            <w:pPr>
              <w:pStyle w:val="TableContents"/>
              <w:bidi w:val="0"/>
              <w:spacing w:before="0" w:after="283"/>
              <w:ind w:left="0" w:right="0" w:hanging="0"/>
              <w:jc w:val="left"/>
              <w:rPr/>
            </w:pPr>
            <w:r>
              <w:rPr/>
              <w:t xml:space="preserve">Equity </w:t>
            </w:r>
          </w:p>
        </w:tc>
        <w:tc>
          <w:tcPr>
            <w:tcW w:w="1306" w:type="dxa"/>
            <w:tcBorders/>
            <w:shd w:fill="E7E7E2" w:val="clear"/>
            <w:vAlign w:val="center"/>
          </w:tcPr>
          <w:p>
            <w:pPr>
              <w:pStyle w:val="TableContents"/>
              <w:bidi w:val="0"/>
              <w:spacing w:before="0" w:after="283"/>
              <w:jc w:val="left"/>
              <w:rPr/>
            </w:pPr>
            <w:r>
              <w:rPr/>
              <w:t xml:space="preserve">Class A Ordinary Shares, par value $0.00001per share </w:t>
            </w:r>
          </w:p>
        </w:tc>
        <w:tc>
          <w:tcPr>
            <w:tcW w:w="1276" w:type="dxa"/>
            <w:tcBorders/>
            <w:shd w:fill="E7E7E2" w:val="clear"/>
            <w:vAlign w:val="center"/>
          </w:tcPr>
          <w:p>
            <w:pPr>
              <w:pStyle w:val="TableContents"/>
              <w:bidi w:val="0"/>
              <w:spacing w:before="0" w:after="283"/>
              <w:jc w:val="center"/>
              <w:rPr/>
            </w:pPr>
            <w:r>
              <w:rPr/>
              <w:t xml:space="preserve">457(o) </w:t>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56" w:type="dxa"/>
            <w:tcBorders/>
            <w:shd w:fill="E7E7E2" w:val="clear"/>
            <w:vAlign w:val="center"/>
          </w:tcPr>
          <w:p>
            <w:pPr>
              <w:pStyle w:val="TableContents"/>
              <w:bidi w:val="0"/>
              <w:spacing w:before="0" w:after="283"/>
              <w:jc w:val="left"/>
              <w:rPr>
                <w:sz w:val="4"/>
                <w:szCs w:val="4"/>
              </w:rPr>
            </w:pPr>
            <w:r>
              <w:rPr>
                <w:sz w:val="4"/>
                <w:szCs w:val="4"/>
              </w:rPr>
            </w:r>
          </w:p>
        </w:tc>
        <w:tc>
          <w:tcPr>
            <w:tcW w:w="1666" w:type="dxa"/>
            <w:tcBorders/>
            <w:shd w:fill="E7E7E2" w:val="clear"/>
            <w:vAlign w:val="center"/>
          </w:tcPr>
          <w:p>
            <w:pPr>
              <w:pStyle w:val="TableContents"/>
              <w:bidi w:val="0"/>
              <w:spacing w:before="0" w:after="283"/>
              <w:jc w:val="right"/>
              <w:rPr/>
            </w:pPr>
            <w:r>
              <w:rPr/>
              <w:t xml:space="preserve">$ 0.00 </w:t>
            </w:r>
          </w:p>
        </w:tc>
        <w:tc>
          <w:tcPr>
            <w:tcW w:w="1126" w:type="dxa"/>
            <w:tcBorders/>
            <w:shd w:fill="E7E7E2" w:val="clear"/>
            <w:vAlign w:val="center"/>
          </w:tcPr>
          <w:p>
            <w:pPr>
              <w:pStyle w:val="TableContents"/>
              <w:bidi w:val="0"/>
              <w:spacing w:before="0" w:after="283"/>
              <w:jc w:val="left"/>
              <w:rPr>
                <w:sz w:val="4"/>
                <w:szCs w:val="4"/>
              </w:rPr>
            </w:pPr>
            <w:r>
              <w:rPr>
                <w:sz w:val="4"/>
                <w:szCs w:val="4"/>
              </w:rPr>
            </w:r>
          </w:p>
        </w:tc>
        <w:tc>
          <w:tcPr>
            <w:tcW w:w="135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321" w:type="dxa"/>
            <w:tcBorders/>
            <w:shd w:fill="E7E7E2" w:val="clear"/>
            <w:vAlign w:val="center"/>
          </w:tcPr>
          <w:p>
            <w:pPr>
              <w:pStyle w:val="TableContents"/>
              <w:bidi w:val="0"/>
              <w:spacing w:before="0" w:after="283"/>
              <w:jc w:val="left"/>
              <w:rPr>
                <w:sz w:val="4"/>
                <w:szCs w:val="4"/>
              </w:rPr>
            </w:pPr>
            <w:r>
              <w:rPr>
                <w:sz w:val="4"/>
                <w:szCs w:val="4"/>
              </w:rPr>
            </w:r>
          </w:p>
        </w:tc>
      </w:tr>
      <w:tr>
        <w:trPr/>
        <w:tc>
          <w:tcPr>
            <w:tcW w:w="1126" w:type="dxa"/>
            <w:tcBorders/>
            <w:shd w:fill="E7E7E2" w:val="clear"/>
            <w:vAlign w:val="center"/>
          </w:tcPr>
          <w:p>
            <w:pPr>
              <w:pStyle w:val="TableContents"/>
              <w:bidi w:val="0"/>
              <w:spacing w:before="0" w:after="283"/>
              <w:jc w:val="left"/>
              <w:rPr/>
            </w:pPr>
            <w:r>
              <w:rPr/>
              <w:t xml:space="preserve">Fees to be Paid </w:t>
            </w:r>
          </w:p>
        </w:tc>
        <w:tc>
          <w:tcPr>
            <w:tcW w:w="226" w:type="dxa"/>
            <w:tcBorders/>
            <w:shd w:fill="E7E7E2" w:val="clear"/>
            <w:vAlign w:val="center"/>
          </w:tcPr>
          <w:p>
            <w:pPr>
              <w:pStyle w:val="TableContents"/>
              <w:bidi w:val="0"/>
              <w:spacing w:before="0" w:after="283"/>
              <w:jc w:val="left"/>
              <w:rPr>
                <w:sz w:val="4"/>
                <w:szCs w:val="4"/>
              </w:rPr>
            </w:pPr>
            <w:r>
              <w:rPr>
                <w:sz w:val="4"/>
                <w:szCs w:val="4"/>
              </w:rPr>
            </w:r>
          </w:p>
        </w:tc>
        <w:tc>
          <w:tcPr>
            <w:tcW w:w="1246" w:type="dxa"/>
            <w:tcBorders/>
            <w:shd w:fill="E7E7E2" w:val="clear"/>
            <w:vAlign w:val="center"/>
          </w:tcPr>
          <w:p>
            <w:pPr>
              <w:pStyle w:val="TableContents"/>
              <w:bidi w:val="0"/>
              <w:spacing w:before="0" w:after="283"/>
              <w:ind w:left="0" w:right="0" w:hanging="0"/>
              <w:jc w:val="left"/>
              <w:rPr/>
            </w:pPr>
            <w:r>
              <w:rPr/>
              <w:t xml:space="preserve">Equity </w:t>
            </w:r>
          </w:p>
        </w:tc>
        <w:tc>
          <w:tcPr>
            <w:tcW w:w="1306" w:type="dxa"/>
            <w:tcBorders/>
            <w:shd w:fill="E7E7E2" w:val="clear"/>
            <w:vAlign w:val="center"/>
          </w:tcPr>
          <w:p>
            <w:pPr>
              <w:pStyle w:val="TableContents"/>
              <w:bidi w:val="0"/>
              <w:spacing w:before="0" w:after="283"/>
              <w:jc w:val="left"/>
              <w:rPr/>
            </w:pPr>
            <w:r>
              <w:rPr/>
              <w:t xml:space="preserve">Preferred Stock </w:t>
            </w:r>
          </w:p>
        </w:tc>
        <w:tc>
          <w:tcPr>
            <w:tcW w:w="1276" w:type="dxa"/>
            <w:tcBorders/>
            <w:shd w:fill="E7E7E2" w:val="clear"/>
            <w:vAlign w:val="center"/>
          </w:tcPr>
          <w:p>
            <w:pPr>
              <w:pStyle w:val="TableContents"/>
              <w:bidi w:val="0"/>
              <w:spacing w:before="0" w:after="283"/>
              <w:jc w:val="center"/>
              <w:rPr/>
            </w:pPr>
            <w:r>
              <w:rPr/>
              <w:t xml:space="preserve">457(o) </w:t>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56" w:type="dxa"/>
            <w:tcBorders/>
            <w:shd w:fill="E7E7E2" w:val="clear"/>
            <w:vAlign w:val="center"/>
          </w:tcPr>
          <w:p>
            <w:pPr>
              <w:pStyle w:val="TableContents"/>
              <w:bidi w:val="0"/>
              <w:spacing w:before="0" w:after="283"/>
              <w:jc w:val="left"/>
              <w:rPr>
                <w:sz w:val="4"/>
                <w:szCs w:val="4"/>
              </w:rPr>
            </w:pPr>
            <w:r>
              <w:rPr>
                <w:sz w:val="4"/>
                <w:szCs w:val="4"/>
              </w:rPr>
            </w:r>
          </w:p>
        </w:tc>
        <w:tc>
          <w:tcPr>
            <w:tcW w:w="1666" w:type="dxa"/>
            <w:tcBorders/>
            <w:shd w:fill="E7E7E2" w:val="clear"/>
            <w:vAlign w:val="center"/>
          </w:tcPr>
          <w:p>
            <w:pPr>
              <w:pStyle w:val="TableContents"/>
              <w:bidi w:val="0"/>
              <w:spacing w:before="0" w:after="283"/>
              <w:jc w:val="right"/>
              <w:rPr/>
            </w:pPr>
            <w:r>
              <w:rPr/>
              <w:t xml:space="preserve">$ 0.00 </w:t>
            </w:r>
          </w:p>
        </w:tc>
        <w:tc>
          <w:tcPr>
            <w:tcW w:w="1126" w:type="dxa"/>
            <w:tcBorders/>
            <w:shd w:fill="E7E7E2" w:val="clear"/>
            <w:vAlign w:val="center"/>
          </w:tcPr>
          <w:p>
            <w:pPr>
              <w:pStyle w:val="TableContents"/>
              <w:bidi w:val="0"/>
              <w:spacing w:before="0" w:after="283"/>
              <w:jc w:val="left"/>
              <w:rPr>
                <w:sz w:val="4"/>
                <w:szCs w:val="4"/>
              </w:rPr>
            </w:pPr>
            <w:r>
              <w:rPr>
                <w:sz w:val="4"/>
                <w:szCs w:val="4"/>
              </w:rPr>
            </w:r>
          </w:p>
        </w:tc>
        <w:tc>
          <w:tcPr>
            <w:tcW w:w="135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321" w:type="dxa"/>
            <w:tcBorders/>
            <w:shd w:fill="E7E7E2" w:val="clear"/>
            <w:vAlign w:val="center"/>
          </w:tcPr>
          <w:p>
            <w:pPr>
              <w:pStyle w:val="TableContents"/>
              <w:bidi w:val="0"/>
              <w:spacing w:before="0" w:after="283"/>
              <w:jc w:val="left"/>
              <w:rPr>
                <w:sz w:val="4"/>
                <w:szCs w:val="4"/>
              </w:rPr>
            </w:pPr>
            <w:r>
              <w:rPr>
                <w:sz w:val="4"/>
                <w:szCs w:val="4"/>
              </w:rPr>
            </w:r>
          </w:p>
        </w:tc>
      </w:tr>
      <w:tr>
        <w:trPr/>
        <w:tc>
          <w:tcPr>
            <w:tcW w:w="1126" w:type="dxa"/>
            <w:tcBorders/>
            <w:shd w:fill="E7E7E2" w:val="clear"/>
            <w:vAlign w:val="center"/>
          </w:tcPr>
          <w:p>
            <w:pPr>
              <w:pStyle w:val="TableContents"/>
              <w:bidi w:val="0"/>
              <w:spacing w:before="0" w:after="283"/>
              <w:jc w:val="left"/>
              <w:rPr/>
            </w:pPr>
            <w:r>
              <w:rPr/>
              <w:t xml:space="preserve">Fees to be Paid </w:t>
            </w:r>
          </w:p>
        </w:tc>
        <w:tc>
          <w:tcPr>
            <w:tcW w:w="226" w:type="dxa"/>
            <w:tcBorders/>
            <w:shd w:fill="E7E7E2" w:val="clear"/>
            <w:vAlign w:val="center"/>
          </w:tcPr>
          <w:p>
            <w:pPr>
              <w:pStyle w:val="TableContents"/>
              <w:bidi w:val="0"/>
              <w:spacing w:before="0" w:after="283"/>
              <w:jc w:val="left"/>
              <w:rPr>
                <w:sz w:val="4"/>
                <w:szCs w:val="4"/>
              </w:rPr>
            </w:pPr>
            <w:r>
              <w:rPr>
                <w:sz w:val="4"/>
                <w:szCs w:val="4"/>
              </w:rPr>
            </w:r>
          </w:p>
        </w:tc>
        <w:tc>
          <w:tcPr>
            <w:tcW w:w="1246" w:type="dxa"/>
            <w:tcBorders/>
            <w:shd w:fill="E7E7E2" w:val="clear"/>
            <w:vAlign w:val="center"/>
          </w:tcPr>
          <w:p>
            <w:pPr>
              <w:pStyle w:val="TableContents"/>
              <w:bidi w:val="0"/>
              <w:spacing w:before="0" w:after="283"/>
              <w:ind w:left="0" w:right="0" w:hanging="0"/>
              <w:jc w:val="left"/>
              <w:rPr/>
            </w:pPr>
            <w:r>
              <w:rPr/>
              <w:t xml:space="preserve">Debt </w:t>
            </w:r>
          </w:p>
        </w:tc>
        <w:tc>
          <w:tcPr>
            <w:tcW w:w="1306" w:type="dxa"/>
            <w:tcBorders/>
            <w:shd w:fill="E7E7E2" w:val="clear"/>
            <w:vAlign w:val="center"/>
          </w:tcPr>
          <w:p>
            <w:pPr>
              <w:pStyle w:val="TableContents"/>
              <w:bidi w:val="0"/>
              <w:spacing w:before="0" w:after="283"/>
              <w:jc w:val="left"/>
              <w:rPr/>
            </w:pPr>
            <w:r>
              <w:rPr/>
              <w:t xml:space="preserve">Debt Securities </w:t>
            </w:r>
          </w:p>
        </w:tc>
        <w:tc>
          <w:tcPr>
            <w:tcW w:w="1276" w:type="dxa"/>
            <w:tcBorders/>
            <w:shd w:fill="E7E7E2" w:val="clear"/>
            <w:vAlign w:val="center"/>
          </w:tcPr>
          <w:p>
            <w:pPr>
              <w:pStyle w:val="TableContents"/>
              <w:bidi w:val="0"/>
              <w:spacing w:before="0" w:after="283"/>
              <w:jc w:val="center"/>
              <w:rPr/>
            </w:pPr>
            <w:r>
              <w:rPr/>
              <w:t xml:space="preserve">457(o) </w:t>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56" w:type="dxa"/>
            <w:tcBorders/>
            <w:shd w:fill="E7E7E2" w:val="clear"/>
            <w:vAlign w:val="center"/>
          </w:tcPr>
          <w:p>
            <w:pPr>
              <w:pStyle w:val="TableContents"/>
              <w:bidi w:val="0"/>
              <w:spacing w:before="0" w:after="283"/>
              <w:jc w:val="left"/>
              <w:rPr>
                <w:sz w:val="4"/>
                <w:szCs w:val="4"/>
              </w:rPr>
            </w:pPr>
            <w:r>
              <w:rPr>
                <w:sz w:val="4"/>
                <w:szCs w:val="4"/>
              </w:rPr>
            </w:r>
          </w:p>
        </w:tc>
        <w:tc>
          <w:tcPr>
            <w:tcW w:w="1666" w:type="dxa"/>
            <w:tcBorders/>
            <w:shd w:fill="E7E7E2" w:val="clear"/>
            <w:vAlign w:val="center"/>
          </w:tcPr>
          <w:p>
            <w:pPr>
              <w:pStyle w:val="TableContents"/>
              <w:bidi w:val="0"/>
              <w:spacing w:before="0" w:after="283"/>
              <w:jc w:val="right"/>
              <w:rPr/>
            </w:pPr>
            <w:r>
              <w:rPr/>
              <w:t xml:space="preserve">$ 0.00 </w:t>
            </w:r>
          </w:p>
        </w:tc>
        <w:tc>
          <w:tcPr>
            <w:tcW w:w="1126" w:type="dxa"/>
            <w:tcBorders/>
            <w:shd w:fill="E7E7E2" w:val="clear"/>
            <w:vAlign w:val="center"/>
          </w:tcPr>
          <w:p>
            <w:pPr>
              <w:pStyle w:val="TableContents"/>
              <w:bidi w:val="0"/>
              <w:spacing w:before="0" w:after="283"/>
              <w:jc w:val="left"/>
              <w:rPr>
                <w:sz w:val="4"/>
                <w:szCs w:val="4"/>
              </w:rPr>
            </w:pPr>
            <w:r>
              <w:rPr>
                <w:sz w:val="4"/>
                <w:szCs w:val="4"/>
              </w:rPr>
            </w:r>
          </w:p>
        </w:tc>
        <w:tc>
          <w:tcPr>
            <w:tcW w:w="135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321" w:type="dxa"/>
            <w:tcBorders/>
            <w:shd w:fill="E7E7E2" w:val="clear"/>
            <w:vAlign w:val="center"/>
          </w:tcPr>
          <w:p>
            <w:pPr>
              <w:pStyle w:val="TableContents"/>
              <w:bidi w:val="0"/>
              <w:spacing w:before="0" w:after="283"/>
              <w:jc w:val="left"/>
              <w:rPr>
                <w:sz w:val="4"/>
                <w:szCs w:val="4"/>
              </w:rPr>
            </w:pPr>
            <w:r>
              <w:rPr>
                <w:sz w:val="4"/>
                <w:szCs w:val="4"/>
              </w:rPr>
            </w:r>
          </w:p>
        </w:tc>
      </w:tr>
      <w:tr>
        <w:trPr/>
        <w:tc>
          <w:tcPr>
            <w:tcW w:w="1126" w:type="dxa"/>
            <w:tcBorders/>
            <w:shd w:fill="E7E7E2" w:val="clear"/>
            <w:vAlign w:val="center"/>
          </w:tcPr>
          <w:p>
            <w:pPr>
              <w:pStyle w:val="TableContents"/>
              <w:bidi w:val="0"/>
              <w:spacing w:before="0" w:after="283"/>
              <w:jc w:val="left"/>
              <w:rPr/>
            </w:pPr>
            <w:r>
              <w:rPr/>
              <w:t xml:space="preserve">Fees to be Paid </w:t>
            </w:r>
          </w:p>
        </w:tc>
        <w:tc>
          <w:tcPr>
            <w:tcW w:w="226" w:type="dxa"/>
            <w:tcBorders/>
            <w:shd w:fill="E7E7E2" w:val="clear"/>
            <w:vAlign w:val="center"/>
          </w:tcPr>
          <w:p>
            <w:pPr>
              <w:pStyle w:val="TableContents"/>
              <w:bidi w:val="0"/>
              <w:spacing w:before="0" w:after="283"/>
              <w:jc w:val="left"/>
              <w:rPr>
                <w:sz w:val="4"/>
                <w:szCs w:val="4"/>
              </w:rPr>
            </w:pPr>
            <w:r>
              <w:rPr>
                <w:sz w:val="4"/>
                <w:szCs w:val="4"/>
              </w:rPr>
            </w:r>
          </w:p>
        </w:tc>
        <w:tc>
          <w:tcPr>
            <w:tcW w:w="1246" w:type="dxa"/>
            <w:tcBorders/>
            <w:shd w:fill="E7E7E2" w:val="clear"/>
            <w:vAlign w:val="center"/>
          </w:tcPr>
          <w:p>
            <w:pPr>
              <w:pStyle w:val="TableContents"/>
              <w:bidi w:val="0"/>
              <w:spacing w:before="0" w:after="283"/>
              <w:ind w:left="0" w:right="0" w:hanging="0"/>
              <w:jc w:val="left"/>
              <w:rPr/>
            </w:pPr>
            <w:r>
              <w:rPr/>
              <w:t xml:space="preserve">Equity </w:t>
            </w:r>
          </w:p>
        </w:tc>
        <w:tc>
          <w:tcPr>
            <w:tcW w:w="1306" w:type="dxa"/>
            <w:tcBorders/>
            <w:shd w:fill="E7E7E2" w:val="clear"/>
            <w:vAlign w:val="center"/>
          </w:tcPr>
          <w:p>
            <w:pPr>
              <w:pStyle w:val="TableContents"/>
              <w:bidi w:val="0"/>
              <w:spacing w:before="0" w:after="283"/>
              <w:jc w:val="left"/>
              <w:rPr/>
            </w:pPr>
            <w:r>
              <w:rPr/>
              <w:t xml:space="preserve">Warrants </w:t>
            </w:r>
          </w:p>
        </w:tc>
        <w:tc>
          <w:tcPr>
            <w:tcW w:w="1276" w:type="dxa"/>
            <w:tcBorders/>
            <w:shd w:fill="E7E7E2" w:val="clear"/>
            <w:vAlign w:val="center"/>
          </w:tcPr>
          <w:p>
            <w:pPr>
              <w:pStyle w:val="TableContents"/>
              <w:bidi w:val="0"/>
              <w:spacing w:before="0" w:after="283"/>
              <w:jc w:val="center"/>
              <w:rPr/>
            </w:pPr>
            <w:r>
              <w:rPr/>
              <w:t xml:space="preserve">457(o) </w:t>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56" w:type="dxa"/>
            <w:tcBorders/>
            <w:shd w:fill="E7E7E2" w:val="clear"/>
            <w:vAlign w:val="center"/>
          </w:tcPr>
          <w:p>
            <w:pPr>
              <w:pStyle w:val="TableContents"/>
              <w:bidi w:val="0"/>
              <w:spacing w:before="0" w:after="283"/>
              <w:jc w:val="left"/>
              <w:rPr>
                <w:sz w:val="4"/>
                <w:szCs w:val="4"/>
              </w:rPr>
            </w:pPr>
            <w:r>
              <w:rPr>
                <w:sz w:val="4"/>
                <w:szCs w:val="4"/>
              </w:rPr>
            </w:r>
          </w:p>
        </w:tc>
        <w:tc>
          <w:tcPr>
            <w:tcW w:w="1666" w:type="dxa"/>
            <w:tcBorders/>
            <w:shd w:fill="E7E7E2" w:val="clear"/>
            <w:vAlign w:val="center"/>
          </w:tcPr>
          <w:p>
            <w:pPr>
              <w:pStyle w:val="TableContents"/>
              <w:bidi w:val="0"/>
              <w:spacing w:before="0" w:after="283"/>
              <w:jc w:val="right"/>
              <w:rPr/>
            </w:pPr>
            <w:r>
              <w:rPr/>
              <w:t xml:space="preserve">$ 0.00 </w:t>
            </w:r>
          </w:p>
        </w:tc>
        <w:tc>
          <w:tcPr>
            <w:tcW w:w="1126" w:type="dxa"/>
            <w:tcBorders/>
            <w:shd w:fill="E7E7E2" w:val="clear"/>
            <w:vAlign w:val="center"/>
          </w:tcPr>
          <w:p>
            <w:pPr>
              <w:pStyle w:val="TableContents"/>
              <w:bidi w:val="0"/>
              <w:spacing w:before="0" w:after="283"/>
              <w:jc w:val="left"/>
              <w:rPr>
                <w:sz w:val="4"/>
                <w:szCs w:val="4"/>
              </w:rPr>
            </w:pPr>
            <w:r>
              <w:rPr>
                <w:sz w:val="4"/>
                <w:szCs w:val="4"/>
              </w:rPr>
            </w:r>
          </w:p>
        </w:tc>
        <w:tc>
          <w:tcPr>
            <w:tcW w:w="135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321" w:type="dxa"/>
            <w:tcBorders/>
            <w:shd w:fill="E7E7E2" w:val="clear"/>
            <w:vAlign w:val="center"/>
          </w:tcPr>
          <w:p>
            <w:pPr>
              <w:pStyle w:val="TableContents"/>
              <w:bidi w:val="0"/>
              <w:spacing w:before="0" w:after="283"/>
              <w:jc w:val="left"/>
              <w:rPr>
                <w:sz w:val="4"/>
                <w:szCs w:val="4"/>
              </w:rPr>
            </w:pPr>
            <w:r>
              <w:rPr>
                <w:sz w:val="4"/>
                <w:szCs w:val="4"/>
              </w:rPr>
            </w:r>
          </w:p>
        </w:tc>
      </w:tr>
      <w:tr>
        <w:trPr/>
        <w:tc>
          <w:tcPr>
            <w:tcW w:w="1126" w:type="dxa"/>
            <w:tcBorders/>
            <w:shd w:fill="E7E7E2" w:val="clear"/>
            <w:vAlign w:val="center"/>
          </w:tcPr>
          <w:p>
            <w:pPr>
              <w:pStyle w:val="TableContents"/>
              <w:bidi w:val="0"/>
              <w:spacing w:before="0" w:after="283"/>
              <w:jc w:val="left"/>
              <w:rPr/>
            </w:pPr>
            <w:r>
              <w:rPr/>
              <w:t xml:space="preserve">Fees to be Paid </w:t>
            </w:r>
          </w:p>
        </w:tc>
        <w:tc>
          <w:tcPr>
            <w:tcW w:w="226" w:type="dxa"/>
            <w:tcBorders/>
            <w:shd w:fill="E7E7E2" w:val="clear"/>
            <w:vAlign w:val="center"/>
          </w:tcPr>
          <w:p>
            <w:pPr>
              <w:pStyle w:val="TableContents"/>
              <w:bidi w:val="0"/>
              <w:spacing w:before="0" w:after="283"/>
              <w:jc w:val="left"/>
              <w:rPr>
                <w:sz w:val="4"/>
                <w:szCs w:val="4"/>
              </w:rPr>
            </w:pPr>
            <w:r>
              <w:rPr>
                <w:sz w:val="4"/>
                <w:szCs w:val="4"/>
              </w:rPr>
            </w:r>
          </w:p>
        </w:tc>
        <w:tc>
          <w:tcPr>
            <w:tcW w:w="1246" w:type="dxa"/>
            <w:tcBorders/>
            <w:shd w:fill="E7E7E2" w:val="clear"/>
            <w:vAlign w:val="center"/>
          </w:tcPr>
          <w:p>
            <w:pPr>
              <w:pStyle w:val="TableContents"/>
              <w:bidi w:val="0"/>
              <w:spacing w:before="0" w:after="283"/>
              <w:ind w:left="0" w:right="0" w:hanging="0"/>
              <w:jc w:val="left"/>
              <w:rPr/>
            </w:pPr>
            <w:r>
              <w:rPr/>
              <w:t xml:space="preserve">Other </w:t>
            </w:r>
          </w:p>
        </w:tc>
        <w:tc>
          <w:tcPr>
            <w:tcW w:w="1306" w:type="dxa"/>
            <w:tcBorders/>
            <w:shd w:fill="E7E7E2" w:val="clear"/>
            <w:vAlign w:val="center"/>
          </w:tcPr>
          <w:p>
            <w:pPr>
              <w:pStyle w:val="TableContents"/>
              <w:bidi w:val="0"/>
              <w:spacing w:before="0" w:after="283"/>
              <w:jc w:val="left"/>
              <w:rPr/>
            </w:pPr>
            <w:r>
              <w:rPr/>
              <w:t xml:space="preserve">Subscription Rights </w:t>
            </w:r>
          </w:p>
        </w:tc>
        <w:tc>
          <w:tcPr>
            <w:tcW w:w="1276" w:type="dxa"/>
            <w:tcBorders/>
            <w:shd w:fill="E7E7E2" w:val="clear"/>
            <w:vAlign w:val="center"/>
          </w:tcPr>
          <w:p>
            <w:pPr>
              <w:pStyle w:val="TableContents"/>
              <w:bidi w:val="0"/>
              <w:spacing w:before="0" w:after="283"/>
              <w:jc w:val="center"/>
              <w:rPr/>
            </w:pPr>
            <w:r>
              <w:rPr/>
              <w:t xml:space="preserve">457(o) </w:t>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56" w:type="dxa"/>
            <w:tcBorders/>
            <w:shd w:fill="E7E7E2" w:val="clear"/>
            <w:vAlign w:val="center"/>
          </w:tcPr>
          <w:p>
            <w:pPr>
              <w:pStyle w:val="TableContents"/>
              <w:bidi w:val="0"/>
              <w:spacing w:before="0" w:after="283"/>
              <w:jc w:val="left"/>
              <w:rPr>
                <w:sz w:val="4"/>
                <w:szCs w:val="4"/>
              </w:rPr>
            </w:pPr>
            <w:r>
              <w:rPr>
                <w:sz w:val="4"/>
                <w:szCs w:val="4"/>
              </w:rPr>
            </w:r>
          </w:p>
        </w:tc>
        <w:tc>
          <w:tcPr>
            <w:tcW w:w="1666" w:type="dxa"/>
            <w:tcBorders/>
            <w:shd w:fill="E7E7E2" w:val="clear"/>
            <w:vAlign w:val="center"/>
          </w:tcPr>
          <w:p>
            <w:pPr>
              <w:pStyle w:val="TableContents"/>
              <w:bidi w:val="0"/>
              <w:spacing w:before="0" w:after="283"/>
              <w:jc w:val="right"/>
              <w:rPr/>
            </w:pPr>
            <w:r>
              <w:rPr/>
              <w:t xml:space="preserve">$ 0.00 </w:t>
            </w:r>
          </w:p>
        </w:tc>
        <w:tc>
          <w:tcPr>
            <w:tcW w:w="1126" w:type="dxa"/>
            <w:tcBorders/>
            <w:shd w:fill="E7E7E2" w:val="clear"/>
            <w:vAlign w:val="center"/>
          </w:tcPr>
          <w:p>
            <w:pPr>
              <w:pStyle w:val="TableContents"/>
              <w:bidi w:val="0"/>
              <w:spacing w:before="0" w:after="283"/>
              <w:jc w:val="left"/>
              <w:rPr>
                <w:sz w:val="4"/>
                <w:szCs w:val="4"/>
              </w:rPr>
            </w:pPr>
            <w:r>
              <w:rPr>
                <w:sz w:val="4"/>
                <w:szCs w:val="4"/>
              </w:rPr>
            </w:r>
          </w:p>
        </w:tc>
        <w:tc>
          <w:tcPr>
            <w:tcW w:w="135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321" w:type="dxa"/>
            <w:tcBorders/>
            <w:shd w:fill="E7E7E2" w:val="clear"/>
            <w:vAlign w:val="center"/>
          </w:tcPr>
          <w:p>
            <w:pPr>
              <w:pStyle w:val="TableContents"/>
              <w:bidi w:val="0"/>
              <w:spacing w:before="0" w:after="283"/>
              <w:jc w:val="left"/>
              <w:rPr>
                <w:sz w:val="4"/>
                <w:szCs w:val="4"/>
              </w:rPr>
            </w:pPr>
            <w:r>
              <w:rPr>
                <w:sz w:val="4"/>
                <w:szCs w:val="4"/>
              </w:rPr>
            </w:r>
          </w:p>
        </w:tc>
      </w:tr>
      <w:tr>
        <w:trPr/>
        <w:tc>
          <w:tcPr>
            <w:tcW w:w="1126" w:type="dxa"/>
            <w:tcBorders/>
            <w:shd w:fill="E7E7E2" w:val="clear"/>
            <w:vAlign w:val="center"/>
          </w:tcPr>
          <w:p>
            <w:pPr>
              <w:pStyle w:val="TableContents"/>
              <w:bidi w:val="0"/>
              <w:spacing w:before="0" w:after="283"/>
              <w:jc w:val="left"/>
              <w:rPr/>
            </w:pPr>
            <w:r>
              <w:rPr/>
              <w:t xml:space="preserve">Fees to be Paid </w:t>
            </w:r>
          </w:p>
        </w:tc>
        <w:tc>
          <w:tcPr>
            <w:tcW w:w="226" w:type="dxa"/>
            <w:tcBorders/>
            <w:shd w:fill="E7E7E2" w:val="clear"/>
            <w:vAlign w:val="center"/>
          </w:tcPr>
          <w:p>
            <w:pPr>
              <w:pStyle w:val="TableContents"/>
              <w:bidi w:val="0"/>
              <w:spacing w:before="0" w:after="283"/>
              <w:jc w:val="left"/>
              <w:rPr>
                <w:sz w:val="4"/>
                <w:szCs w:val="4"/>
              </w:rPr>
            </w:pPr>
            <w:r>
              <w:rPr>
                <w:sz w:val="4"/>
                <w:szCs w:val="4"/>
              </w:rPr>
            </w:r>
          </w:p>
        </w:tc>
        <w:tc>
          <w:tcPr>
            <w:tcW w:w="1246" w:type="dxa"/>
            <w:tcBorders/>
            <w:shd w:fill="E7E7E2" w:val="clear"/>
            <w:vAlign w:val="center"/>
          </w:tcPr>
          <w:p>
            <w:pPr>
              <w:pStyle w:val="TableContents"/>
              <w:bidi w:val="0"/>
              <w:spacing w:before="0" w:after="283"/>
              <w:ind w:left="0" w:right="0" w:hanging="0"/>
              <w:jc w:val="left"/>
              <w:rPr/>
            </w:pPr>
            <w:r>
              <w:rPr/>
              <w:t xml:space="preserve">Other </w:t>
            </w:r>
          </w:p>
        </w:tc>
        <w:tc>
          <w:tcPr>
            <w:tcW w:w="1306" w:type="dxa"/>
            <w:tcBorders/>
            <w:shd w:fill="E7E7E2" w:val="clear"/>
            <w:vAlign w:val="center"/>
          </w:tcPr>
          <w:p>
            <w:pPr>
              <w:pStyle w:val="TableContents"/>
              <w:bidi w:val="0"/>
              <w:spacing w:before="0" w:after="283"/>
              <w:jc w:val="left"/>
              <w:rPr/>
            </w:pPr>
            <w:r>
              <w:rPr/>
              <w:t xml:space="preserve">Units </w:t>
            </w:r>
          </w:p>
        </w:tc>
        <w:tc>
          <w:tcPr>
            <w:tcW w:w="1276" w:type="dxa"/>
            <w:tcBorders/>
            <w:shd w:fill="E7E7E2" w:val="clear"/>
            <w:vAlign w:val="center"/>
          </w:tcPr>
          <w:p>
            <w:pPr>
              <w:pStyle w:val="TableContents"/>
              <w:bidi w:val="0"/>
              <w:spacing w:before="0" w:after="283"/>
              <w:jc w:val="center"/>
              <w:rPr/>
            </w:pPr>
            <w:r>
              <w:rPr/>
              <w:t xml:space="preserve">457(o) </w:t>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56" w:type="dxa"/>
            <w:tcBorders/>
            <w:shd w:fill="E7E7E2" w:val="clear"/>
            <w:vAlign w:val="center"/>
          </w:tcPr>
          <w:p>
            <w:pPr>
              <w:pStyle w:val="TableContents"/>
              <w:bidi w:val="0"/>
              <w:spacing w:before="0" w:after="283"/>
              <w:jc w:val="left"/>
              <w:rPr>
                <w:sz w:val="4"/>
                <w:szCs w:val="4"/>
              </w:rPr>
            </w:pPr>
            <w:r>
              <w:rPr>
                <w:sz w:val="4"/>
                <w:szCs w:val="4"/>
              </w:rPr>
            </w:r>
          </w:p>
        </w:tc>
        <w:tc>
          <w:tcPr>
            <w:tcW w:w="1666" w:type="dxa"/>
            <w:tcBorders/>
            <w:shd w:fill="E7E7E2" w:val="clear"/>
            <w:vAlign w:val="center"/>
          </w:tcPr>
          <w:p>
            <w:pPr>
              <w:pStyle w:val="TableContents"/>
              <w:bidi w:val="0"/>
              <w:spacing w:before="0" w:after="283"/>
              <w:jc w:val="right"/>
              <w:rPr/>
            </w:pPr>
            <w:r>
              <w:rPr/>
              <w:t xml:space="preserve">$ 0.00 </w:t>
            </w:r>
          </w:p>
        </w:tc>
        <w:tc>
          <w:tcPr>
            <w:tcW w:w="1126" w:type="dxa"/>
            <w:tcBorders/>
            <w:shd w:fill="E7E7E2" w:val="clear"/>
            <w:vAlign w:val="center"/>
          </w:tcPr>
          <w:p>
            <w:pPr>
              <w:pStyle w:val="TableContents"/>
              <w:bidi w:val="0"/>
              <w:spacing w:before="0" w:after="283"/>
              <w:jc w:val="left"/>
              <w:rPr>
                <w:sz w:val="4"/>
                <w:szCs w:val="4"/>
              </w:rPr>
            </w:pPr>
            <w:r>
              <w:rPr>
                <w:sz w:val="4"/>
                <w:szCs w:val="4"/>
              </w:rPr>
            </w:r>
          </w:p>
        </w:tc>
        <w:tc>
          <w:tcPr>
            <w:tcW w:w="135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321" w:type="dxa"/>
            <w:tcBorders/>
            <w:shd w:fill="E7E7E2" w:val="clear"/>
            <w:vAlign w:val="center"/>
          </w:tcPr>
          <w:p>
            <w:pPr>
              <w:pStyle w:val="TableContents"/>
              <w:bidi w:val="0"/>
              <w:spacing w:before="0" w:after="283"/>
              <w:jc w:val="left"/>
              <w:rPr>
                <w:sz w:val="4"/>
                <w:szCs w:val="4"/>
              </w:rPr>
            </w:pPr>
            <w:r>
              <w:rPr>
                <w:sz w:val="4"/>
                <w:szCs w:val="4"/>
              </w:rPr>
            </w:r>
          </w:p>
        </w:tc>
      </w:tr>
      <w:tr>
        <w:trPr/>
        <w:tc>
          <w:tcPr>
            <w:tcW w:w="1126" w:type="dxa"/>
            <w:tcBorders/>
            <w:shd w:fill="E7E7E2" w:val="clear"/>
            <w:vAlign w:val="center"/>
          </w:tcPr>
          <w:p>
            <w:pPr>
              <w:pStyle w:val="TableContents"/>
              <w:bidi w:val="0"/>
              <w:spacing w:before="0" w:after="283"/>
              <w:jc w:val="left"/>
              <w:rPr/>
            </w:pPr>
            <w:r>
              <w:rPr/>
              <w:t xml:space="preserve">Fees to be Paid </w:t>
            </w:r>
          </w:p>
        </w:tc>
        <w:tc>
          <w:tcPr>
            <w:tcW w:w="226" w:type="dxa"/>
            <w:tcBorders/>
            <w:shd w:fill="E7E7E2" w:val="clear"/>
            <w:vAlign w:val="center"/>
          </w:tcPr>
          <w:p>
            <w:pPr>
              <w:pStyle w:val="TableContents"/>
              <w:bidi w:val="0"/>
              <w:spacing w:before="0" w:after="283"/>
              <w:jc w:val="center"/>
              <w:rPr/>
            </w:pPr>
            <w:r>
              <w:rPr/>
              <w:t xml:space="preserve">1 </w:t>
            </w:r>
          </w:p>
        </w:tc>
        <w:tc>
          <w:tcPr>
            <w:tcW w:w="1246" w:type="dxa"/>
            <w:tcBorders/>
            <w:shd w:fill="E7E7E2" w:val="clear"/>
            <w:vAlign w:val="center"/>
          </w:tcPr>
          <w:p>
            <w:pPr>
              <w:pStyle w:val="TableContents"/>
              <w:bidi w:val="0"/>
              <w:spacing w:before="0" w:after="283"/>
              <w:jc w:val="left"/>
              <w:rPr/>
            </w:pPr>
            <w:r>
              <w:rPr/>
              <w:t xml:space="preserve">Unallocated (Universal) Shelf </w:t>
            </w:r>
          </w:p>
        </w:tc>
        <w:tc>
          <w:tcPr>
            <w:tcW w:w="1306" w:type="dxa"/>
            <w:tcBorders/>
            <w:shd w:fill="E7E7E2" w:val="clear"/>
            <w:vAlign w:val="center"/>
          </w:tcPr>
          <w:p>
            <w:pPr>
              <w:pStyle w:val="TableContents"/>
              <w:bidi w:val="0"/>
              <w:spacing w:before="0" w:after="283"/>
              <w:jc w:val="left"/>
              <w:rPr>
                <w:sz w:val="4"/>
                <w:szCs w:val="4"/>
              </w:rPr>
            </w:pPr>
            <w:r>
              <w:rPr>
                <w:sz w:val="4"/>
                <w:szCs w:val="4"/>
              </w:rPr>
            </w:r>
          </w:p>
        </w:tc>
        <w:tc>
          <w:tcPr>
            <w:tcW w:w="1276" w:type="dxa"/>
            <w:tcBorders/>
            <w:shd w:fill="E7E7E2" w:val="clear"/>
            <w:vAlign w:val="center"/>
          </w:tcPr>
          <w:p>
            <w:pPr>
              <w:pStyle w:val="TableContents"/>
              <w:bidi w:val="0"/>
              <w:spacing w:before="0" w:after="283"/>
              <w:jc w:val="center"/>
              <w:rPr/>
            </w:pPr>
            <w:r>
              <w:rPr/>
              <w:t xml:space="preserve">457(o) </w:t>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56" w:type="dxa"/>
            <w:tcBorders/>
            <w:shd w:fill="E7E7E2" w:val="clear"/>
            <w:vAlign w:val="center"/>
          </w:tcPr>
          <w:p>
            <w:pPr>
              <w:pStyle w:val="TableContents"/>
              <w:bidi w:val="0"/>
              <w:spacing w:before="0" w:after="283"/>
              <w:jc w:val="left"/>
              <w:rPr>
                <w:sz w:val="4"/>
                <w:szCs w:val="4"/>
              </w:rPr>
            </w:pPr>
            <w:r>
              <w:rPr>
                <w:sz w:val="4"/>
                <w:szCs w:val="4"/>
              </w:rPr>
            </w:r>
          </w:p>
        </w:tc>
        <w:tc>
          <w:tcPr>
            <w:tcW w:w="1666" w:type="dxa"/>
            <w:tcBorders/>
            <w:shd w:fill="E7E7E2" w:val="clear"/>
            <w:vAlign w:val="center"/>
          </w:tcPr>
          <w:p>
            <w:pPr>
              <w:pStyle w:val="TableContents"/>
              <w:bidi w:val="0"/>
              <w:spacing w:before="0" w:after="283"/>
              <w:jc w:val="right"/>
              <w:rPr/>
            </w:pPr>
            <w:r>
              <w:rPr/>
              <w:t xml:space="preserve">$ 75,000,000.00 </w:t>
            </w:r>
          </w:p>
        </w:tc>
        <w:tc>
          <w:tcPr>
            <w:tcW w:w="1126" w:type="dxa"/>
            <w:tcBorders/>
            <w:shd w:fill="E7E7E2" w:val="clear"/>
            <w:vAlign w:val="center"/>
          </w:tcPr>
          <w:p>
            <w:pPr>
              <w:pStyle w:val="TableContents"/>
              <w:bidi w:val="0"/>
              <w:spacing w:before="0" w:after="283"/>
              <w:jc w:val="right"/>
              <w:rPr/>
            </w:pPr>
            <w:r>
              <w:rPr/>
              <w:t xml:space="preserve">0.0001381 </w:t>
            </w:r>
          </w:p>
        </w:tc>
        <w:tc>
          <w:tcPr>
            <w:tcW w:w="1351" w:type="dxa"/>
            <w:tcBorders/>
            <w:shd w:fill="E7E7E2" w:val="clear"/>
            <w:vAlign w:val="center"/>
          </w:tcPr>
          <w:p>
            <w:pPr>
              <w:pStyle w:val="TableContents"/>
              <w:bidi w:val="0"/>
              <w:spacing w:before="0" w:after="283"/>
              <w:jc w:val="right"/>
              <w:rPr/>
            </w:pPr>
            <w:r>
              <w:rPr/>
              <w:t xml:space="preserve">$ 10,357.50 </w:t>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321" w:type="dxa"/>
            <w:tcBorders/>
            <w:shd w:fill="E7E7E2" w:val="clear"/>
            <w:vAlign w:val="center"/>
          </w:tcPr>
          <w:p>
            <w:pPr>
              <w:pStyle w:val="TableContents"/>
              <w:bidi w:val="0"/>
              <w:spacing w:before="0" w:after="283"/>
              <w:jc w:val="left"/>
              <w:rPr>
                <w:sz w:val="4"/>
                <w:szCs w:val="4"/>
              </w:rPr>
            </w:pPr>
            <w:r>
              <w:rPr>
                <w:sz w:val="4"/>
                <w:szCs w:val="4"/>
              </w:rPr>
            </w:r>
          </w:p>
        </w:tc>
      </w:tr>
      <w:tr>
        <w:trPr/>
        <w:tc>
          <w:tcPr>
            <w:tcW w:w="1126" w:type="dxa"/>
            <w:tcBorders/>
            <w:shd w:fill="E7E7E2" w:val="clear"/>
            <w:vAlign w:val="center"/>
          </w:tcPr>
          <w:p>
            <w:pPr>
              <w:pStyle w:val="TableContents"/>
              <w:bidi w:val="0"/>
              <w:spacing w:before="0" w:after="283"/>
              <w:jc w:val="left"/>
              <w:rPr/>
            </w:pPr>
            <w:r>
              <w:rPr/>
              <w:t xml:space="preserve">Fees Previously Paid </w:t>
            </w:r>
          </w:p>
        </w:tc>
        <w:tc>
          <w:tcPr>
            <w:tcW w:w="226" w:type="dxa"/>
            <w:tcBorders/>
            <w:shd w:fill="E7E7E2" w:val="clear"/>
            <w:vAlign w:val="center"/>
          </w:tcPr>
          <w:p>
            <w:pPr>
              <w:pStyle w:val="TableContents"/>
              <w:bidi w:val="0"/>
              <w:spacing w:before="0" w:after="283"/>
              <w:jc w:val="left"/>
              <w:rPr>
                <w:sz w:val="4"/>
                <w:szCs w:val="4"/>
              </w:rPr>
            </w:pPr>
            <w:r>
              <w:rPr>
                <w:sz w:val="4"/>
                <w:szCs w:val="4"/>
              </w:rPr>
            </w:r>
          </w:p>
        </w:tc>
        <w:tc>
          <w:tcPr>
            <w:tcW w:w="1246" w:type="dxa"/>
            <w:tcBorders/>
            <w:shd w:fill="E7E7E2" w:val="clear"/>
            <w:vAlign w:val="center"/>
          </w:tcPr>
          <w:p>
            <w:pPr>
              <w:pStyle w:val="TableContents"/>
              <w:bidi w:val="0"/>
              <w:spacing w:before="0" w:after="283"/>
              <w:jc w:val="left"/>
              <w:rPr>
                <w:sz w:val="4"/>
                <w:szCs w:val="4"/>
              </w:rPr>
            </w:pPr>
            <w:r>
              <w:rPr>
                <w:sz w:val="4"/>
                <w:szCs w:val="4"/>
              </w:rPr>
            </w:r>
          </w:p>
        </w:tc>
        <w:tc>
          <w:tcPr>
            <w:tcW w:w="1306" w:type="dxa"/>
            <w:tcBorders/>
            <w:shd w:fill="E7E7E2" w:val="clear"/>
            <w:vAlign w:val="center"/>
          </w:tcPr>
          <w:p>
            <w:pPr>
              <w:pStyle w:val="TableContents"/>
              <w:bidi w:val="0"/>
              <w:spacing w:before="0" w:after="283"/>
              <w:jc w:val="left"/>
              <w:rPr>
                <w:sz w:val="4"/>
                <w:szCs w:val="4"/>
              </w:rPr>
            </w:pPr>
            <w:r>
              <w:rPr>
                <w:sz w:val="4"/>
                <w:szCs w:val="4"/>
              </w:rPr>
            </w:r>
          </w:p>
        </w:tc>
        <w:tc>
          <w:tcPr>
            <w:tcW w:w="127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56" w:type="dxa"/>
            <w:tcBorders/>
            <w:shd w:fill="E7E7E2" w:val="clear"/>
            <w:vAlign w:val="center"/>
          </w:tcPr>
          <w:p>
            <w:pPr>
              <w:pStyle w:val="TableContents"/>
              <w:bidi w:val="0"/>
              <w:spacing w:before="0" w:after="283"/>
              <w:jc w:val="left"/>
              <w:rPr>
                <w:sz w:val="4"/>
                <w:szCs w:val="4"/>
              </w:rPr>
            </w:pPr>
            <w:r>
              <w:rPr>
                <w:sz w:val="4"/>
                <w:szCs w:val="4"/>
              </w:rPr>
            </w:r>
          </w:p>
        </w:tc>
        <w:tc>
          <w:tcPr>
            <w:tcW w:w="1666" w:type="dxa"/>
            <w:tcBorders/>
            <w:shd w:fill="E7E7E2" w:val="clear"/>
            <w:vAlign w:val="center"/>
          </w:tcPr>
          <w:p>
            <w:pPr>
              <w:pStyle w:val="TableContents"/>
              <w:bidi w:val="0"/>
              <w:spacing w:before="0" w:after="283"/>
              <w:jc w:val="left"/>
              <w:rPr>
                <w:sz w:val="4"/>
                <w:szCs w:val="4"/>
              </w:rPr>
            </w:pPr>
            <w:r>
              <w:rPr>
                <w:sz w:val="4"/>
                <w:szCs w:val="4"/>
              </w:rPr>
            </w:r>
          </w:p>
        </w:tc>
        <w:tc>
          <w:tcPr>
            <w:tcW w:w="1126" w:type="dxa"/>
            <w:tcBorders/>
            <w:shd w:fill="E7E7E2" w:val="clear"/>
            <w:vAlign w:val="center"/>
          </w:tcPr>
          <w:p>
            <w:pPr>
              <w:pStyle w:val="TableContents"/>
              <w:bidi w:val="0"/>
              <w:spacing w:before="0" w:after="283"/>
              <w:jc w:val="left"/>
              <w:rPr>
                <w:sz w:val="4"/>
                <w:szCs w:val="4"/>
              </w:rPr>
            </w:pPr>
            <w:r>
              <w:rPr>
                <w:sz w:val="4"/>
                <w:szCs w:val="4"/>
              </w:rPr>
            </w:r>
          </w:p>
        </w:tc>
        <w:tc>
          <w:tcPr>
            <w:tcW w:w="135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321" w:type="dxa"/>
            <w:tcBorders/>
            <w:shd w:fill="E7E7E2" w:val="clear"/>
            <w:vAlign w:val="center"/>
          </w:tcPr>
          <w:p>
            <w:pPr>
              <w:pStyle w:val="TableContents"/>
              <w:bidi w:val="0"/>
              <w:spacing w:before="0" w:after="283"/>
              <w:jc w:val="left"/>
              <w:rPr>
                <w:sz w:val="4"/>
                <w:szCs w:val="4"/>
              </w:rPr>
            </w:pPr>
            <w:r>
              <w:rPr>
                <w:sz w:val="4"/>
                <w:szCs w:val="4"/>
              </w:rPr>
            </w:r>
          </w:p>
        </w:tc>
      </w:tr>
      <w:tr>
        <w:trPr/>
        <w:tc>
          <w:tcPr>
            <w:tcW w:w="16049" w:type="dxa"/>
            <w:gridSpan w:val="14"/>
            <w:tcBorders/>
            <w:vAlign w:val="center"/>
          </w:tcPr>
          <w:p>
            <w:pPr>
              <w:pStyle w:val="TableContents"/>
              <w:bidi w:val="0"/>
              <w:spacing w:before="0" w:after="283"/>
              <w:jc w:val="center"/>
              <w:rPr/>
            </w:pPr>
            <w:r>
              <w:rPr>
                <w:b/>
              </w:rPr>
              <w:t>Carry Forward Securities</w:t>
            </w:r>
            <w:r>
              <w:rPr/>
              <w:t xml:space="preserve"> </w:t>
            </w:r>
          </w:p>
        </w:tc>
      </w:tr>
      <w:tr>
        <w:trPr/>
        <w:tc>
          <w:tcPr>
            <w:tcW w:w="1126" w:type="dxa"/>
            <w:tcBorders/>
            <w:shd w:fill="E7E7E2" w:val="clear"/>
            <w:vAlign w:val="center"/>
          </w:tcPr>
          <w:p>
            <w:pPr>
              <w:pStyle w:val="TableContents"/>
              <w:bidi w:val="0"/>
              <w:spacing w:before="0" w:after="283"/>
              <w:jc w:val="left"/>
              <w:rPr/>
            </w:pPr>
            <w:r>
              <w:rPr/>
              <w:t xml:space="preserve">Carry Forward Securities </w:t>
            </w:r>
          </w:p>
        </w:tc>
        <w:tc>
          <w:tcPr>
            <w:tcW w:w="226" w:type="dxa"/>
            <w:tcBorders/>
            <w:shd w:fill="E7E7E2" w:val="clear"/>
            <w:vAlign w:val="center"/>
          </w:tcPr>
          <w:p>
            <w:pPr>
              <w:pStyle w:val="TableContents"/>
              <w:bidi w:val="0"/>
              <w:spacing w:before="0" w:after="283"/>
              <w:jc w:val="left"/>
              <w:rPr>
                <w:sz w:val="4"/>
                <w:szCs w:val="4"/>
              </w:rPr>
            </w:pPr>
            <w:r>
              <w:rPr>
                <w:sz w:val="4"/>
                <w:szCs w:val="4"/>
              </w:rPr>
            </w:r>
          </w:p>
        </w:tc>
        <w:tc>
          <w:tcPr>
            <w:tcW w:w="1246" w:type="dxa"/>
            <w:tcBorders/>
            <w:shd w:fill="E7E7E2" w:val="clear"/>
            <w:vAlign w:val="center"/>
          </w:tcPr>
          <w:p>
            <w:pPr>
              <w:pStyle w:val="TableContents"/>
              <w:bidi w:val="0"/>
              <w:spacing w:before="0" w:after="283"/>
              <w:jc w:val="left"/>
              <w:rPr>
                <w:sz w:val="4"/>
                <w:szCs w:val="4"/>
              </w:rPr>
            </w:pPr>
            <w:r>
              <w:rPr>
                <w:sz w:val="4"/>
                <w:szCs w:val="4"/>
              </w:rPr>
            </w:r>
          </w:p>
        </w:tc>
        <w:tc>
          <w:tcPr>
            <w:tcW w:w="1306" w:type="dxa"/>
            <w:tcBorders/>
            <w:shd w:fill="E7E7E2" w:val="clear"/>
            <w:vAlign w:val="center"/>
          </w:tcPr>
          <w:p>
            <w:pPr>
              <w:pStyle w:val="TableContents"/>
              <w:bidi w:val="0"/>
              <w:spacing w:before="0" w:after="283"/>
              <w:jc w:val="left"/>
              <w:rPr>
                <w:sz w:val="4"/>
                <w:szCs w:val="4"/>
              </w:rPr>
            </w:pPr>
            <w:r>
              <w:rPr>
                <w:sz w:val="4"/>
                <w:szCs w:val="4"/>
              </w:rPr>
            </w:r>
          </w:p>
        </w:tc>
        <w:tc>
          <w:tcPr>
            <w:tcW w:w="127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56" w:type="dxa"/>
            <w:tcBorders/>
            <w:shd w:fill="E7E7E2" w:val="clear"/>
            <w:vAlign w:val="center"/>
          </w:tcPr>
          <w:p>
            <w:pPr>
              <w:pStyle w:val="TableContents"/>
              <w:bidi w:val="0"/>
              <w:spacing w:before="0" w:after="283"/>
              <w:jc w:val="left"/>
              <w:rPr>
                <w:sz w:val="4"/>
                <w:szCs w:val="4"/>
              </w:rPr>
            </w:pPr>
            <w:r>
              <w:rPr>
                <w:sz w:val="4"/>
                <w:szCs w:val="4"/>
              </w:rPr>
            </w:r>
          </w:p>
        </w:tc>
        <w:tc>
          <w:tcPr>
            <w:tcW w:w="1666" w:type="dxa"/>
            <w:tcBorders/>
            <w:shd w:fill="E7E7E2" w:val="clear"/>
            <w:vAlign w:val="center"/>
          </w:tcPr>
          <w:p>
            <w:pPr>
              <w:pStyle w:val="TableContents"/>
              <w:bidi w:val="0"/>
              <w:spacing w:before="0" w:after="283"/>
              <w:jc w:val="left"/>
              <w:rPr>
                <w:sz w:val="4"/>
                <w:szCs w:val="4"/>
              </w:rPr>
            </w:pPr>
            <w:r>
              <w:rPr>
                <w:sz w:val="4"/>
                <w:szCs w:val="4"/>
              </w:rPr>
            </w:r>
          </w:p>
        </w:tc>
        <w:tc>
          <w:tcPr>
            <w:tcW w:w="1126" w:type="dxa"/>
            <w:tcBorders/>
            <w:shd w:fill="E7E7E2" w:val="clear"/>
            <w:vAlign w:val="center"/>
          </w:tcPr>
          <w:p>
            <w:pPr>
              <w:pStyle w:val="TableContents"/>
              <w:bidi w:val="0"/>
              <w:spacing w:before="0" w:after="283"/>
              <w:jc w:val="left"/>
              <w:rPr>
                <w:sz w:val="4"/>
                <w:szCs w:val="4"/>
              </w:rPr>
            </w:pPr>
            <w:r>
              <w:rPr>
                <w:sz w:val="4"/>
                <w:szCs w:val="4"/>
              </w:rPr>
            </w:r>
          </w:p>
        </w:tc>
        <w:tc>
          <w:tcPr>
            <w:tcW w:w="135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321" w:type="dxa"/>
            <w:tcBorders/>
            <w:shd w:fill="E7E7E2" w:val="clear"/>
            <w:vAlign w:val="center"/>
          </w:tcPr>
          <w:p>
            <w:pPr>
              <w:pStyle w:val="TableContents"/>
              <w:bidi w:val="0"/>
              <w:spacing w:before="0" w:after="283"/>
              <w:jc w:val="left"/>
              <w:rPr>
                <w:sz w:val="4"/>
                <w:szCs w:val="4"/>
              </w:rPr>
            </w:pPr>
            <w:r>
              <w:rPr>
                <w:sz w:val="4"/>
                <w:szCs w:val="4"/>
              </w:rPr>
            </w:r>
          </w:p>
        </w:tc>
      </w:tr>
      <w:tr>
        <w:trPr/>
        <w:tc>
          <w:tcPr>
            <w:tcW w:w="112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246" w:type="dxa"/>
            <w:tcBorders/>
            <w:vAlign w:val="center"/>
          </w:tcPr>
          <w:p>
            <w:pPr>
              <w:pStyle w:val="TableContents"/>
              <w:bidi w:val="0"/>
              <w:spacing w:before="0" w:after="283"/>
              <w:jc w:val="left"/>
              <w:rPr>
                <w:sz w:val="4"/>
                <w:szCs w:val="4"/>
              </w:rPr>
            </w:pPr>
            <w:r>
              <w:rPr>
                <w:sz w:val="4"/>
                <w:szCs w:val="4"/>
              </w:rPr>
            </w:r>
          </w:p>
        </w:tc>
        <w:tc>
          <w:tcPr>
            <w:tcW w:w="3768" w:type="dxa"/>
            <w:gridSpan w:val="3"/>
            <w:tcBorders/>
            <w:vAlign w:val="center"/>
          </w:tcPr>
          <w:p>
            <w:pPr>
              <w:pStyle w:val="TableContents"/>
              <w:bidi w:val="0"/>
              <w:spacing w:before="0" w:after="0"/>
              <w:ind w:left="0" w:right="0" w:hanging="0"/>
              <w:jc w:val="right"/>
              <w:rPr/>
            </w:pPr>
            <w:r>
              <w:rPr/>
              <w:t>Total Offering Amounts:</w:t>
            </w:r>
          </w:p>
        </w:tc>
        <w:tc>
          <w:tcPr>
            <w:tcW w:w="1156" w:type="dxa"/>
            <w:tcBorders/>
            <w:vAlign w:val="center"/>
          </w:tcPr>
          <w:p>
            <w:pPr>
              <w:pStyle w:val="TableContents"/>
              <w:bidi w:val="0"/>
              <w:spacing w:before="0" w:after="283"/>
              <w:jc w:val="left"/>
              <w:rPr>
                <w:sz w:val="4"/>
                <w:szCs w:val="4"/>
              </w:rPr>
            </w:pPr>
            <w:r>
              <w:rPr>
                <w:sz w:val="4"/>
                <w:szCs w:val="4"/>
              </w:rPr>
            </w:r>
          </w:p>
        </w:tc>
        <w:tc>
          <w:tcPr>
            <w:tcW w:w="1666" w:type="dxa"/>
            <w:tcBorders/>
            <w:vAlign w:val="center"/>
          </w:tcPr>
          <w:p>
            <w:pPr>
              <w:pStyle w:val="TableContents"/>
              <w:bidi w:val="0"/>
              <w:spacing w:before="0" w:after="0"/>
              <w:ind w:left="0" w:right="0" w:hanging="0"/>
              <w:jc w:val="right"/>
              <w:rPr/>
            </w:pPr>
            <w:bookmarkStart w:id="217" w:name="MaxAggtOfferingPrice"/>
            <w:bookmarkEnd w:id="217"/>
            <w:r>
              <w:rPr/>
              <w:t xml:space="preserve">$ 75,000,000.00 </w:t>
            </w:r>
          </w:p>
        </w:tc>
        <w:tc>
          <w:tcPr>
            <w:tcW w:w="1126" w:type="dxa"/>
            <w:tcBorders/>
            <w:vAlign w:val="center"/>
          </w:tcPr>
          <w:p>
            <w:pPr>
              <w:pStyle w:val="TableContents"/>
              <w:bidi w:val="0"/>
              <w:spacing w:before="0" w:after="283"/>
              <w:jc w:val="left"/>
              <w:rPr>
                <w:sz w:val="4"/>
                <w:szCs w:val="4"/>
              </w:rPr>
            </w:pPr>
            <w:r>
              <w:rPr>
                <w:sz w:val="4"/>
                <w:szCs w:val="4"/>
              </w:rPr>
            </w:r>
          </w:p>
        </w:tc>
        <w:tc>
          <w:tcPr>
            <w:tcW w:w="1351" w:type="dxa"/>
            <w:tcBorders/>
            <w:tcMar>
              <w:top w:w="0" w:type="dxa"/>
              <w:left w:w="0" w:type="dxa"/>
              <w:bottom w:w="0" w:type="dxa"/>
              <w:right w:w="0" w:type="dxa"/>
            </w:tcMar>
            <w:vAlign w:val="center"/>
          </w:tcPr>
          <w:p>
            <w:pPr>
              <w:pStyle w:val="TableContents"/>
              <w:bidi w:val="0"/>
              <w:spacing w:before="0" w:after="0"/>
              <w:ind w:left="0" w:right="0" w:hanging="0"/>
              <w:jc w:val="right"/>
              <w:rPr/>
            </w:pPr>
            <w:bookmarkStart w:id="218" w:name="TotalFeeAmt"/>
            <w:bookmarkEnd w:id="218"/>
            <w:r>
              <w:rPr/>
              <w:t xml:space="preserve">$ 10,357.50 </w:t>
            </w:r>
          </w:p>
        </w:tc>
        <w:tc>
          <w:tcPr>
            <w:tcW w:w="102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321" w:type="dxa"/>
            <w:tcBorders/>
            <w:vAlign w:val="center"/>
          </w:tcPr>
          <w:p>
            <w:pPr>
              <w:pStyle w:val="TableContents"/>
              <w:bidi w:val="0"/>
              <w:spacing w:before="0" w:after="283"/>
              <w:jc w:val="left"/>
              <w:rPr>
                <w:sz w:val="4"/>
                <w:szCs w:val="4"/>
              </w:rPr>
            </w:pPr>
            <w:r>
              <w:rPr>
                <w:sz w:val="4"/>
                <w:szCs w:val="4"/>
              </w:rPr>
            </w:r>
          </w:p>
        </w:tc>
      </w:tr>
      <w:tr>
        <w:trPr/>
        <w:tc>
          <w:tcPr>
            <w:tcW w:w="112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246" w:type="dxa"/>
            <w:tcBorders/>
            <w:vAlign w:val="center"/>
          </w:tcPr>
          <w:p>
            <w:pPr>
              <w:pStyle w:val="TableContents"/>
              <w:bidi w:val="0"/>
              <w:spacing w:before="0" w:after="283"/>
              <w:jc w:val="left"/>
              <w:rPr>
                <w:sz w:val="4"/>
                <w:szCs w:val="4"/>
              </w:rPr>
            </w:pPr>
            <w:r>
              <w:rPr>
                <w:sz w:val="4"/>
                <w:szCs w:val="4"/>
              </w:rPr>
            </w:r>
          </w:p>
        </w:tc>
        <w:tc>
          <w:tcPr>
            <w:tcW w:w="3768" w:type="dxa"/>
            <w:gridSpan w:val="3"/>
            <w:tcBorders/>
            <w:vAlign w:val="center"/>
          </w:tcPr>
          <w:p>
            <w:pPr>
              <w:pStyle w:val="TableContents"/>
              <w:bidi w:val="0"/>
              <w:spacing w:before="0" w:after="0"/>
              <w:ind w:left="0" w:right="0" w:hanging="0"/>
              <w:jc w:val="right"/>
              <w:rPr/>
            </w:pPr>
            <w:r>
              <w:rPr/>
              <w:t xml:space="preserve">Total Fees Previously Paid: </w:t>
            </w:r>
          </w:p>
        </w:tc>
        <w:tc>
          <w:tcPr>
            <w:tcW w:w="1156" w:type="dxa"/>
            <w:tcBorders/>
            <w:vAlign w:val="center"/>
          </w:tcPr>
          <w:p>
            <w:pPr>
              <w:pStyle w:val="TableContents"/>
              <w:bidi w:val="0"/>
              <w:spacing w:before="0" w:after="283"/>
              <w:jc w:val="left"/>
              <w:rPr>
                <w:sz w:val="4"/>
                <w:szCs w:val="4"/>
              </w:rPr>
            </w:pPr>
            <w:r>
              <w:rPr>
                <w:sz w:val="4"/>
                <w:szCs w:val="4"/>
              </w:rPr>
            </w:r>
          </w:p>
        </w:tc>
        <w:tc>
          <w:tcPr>
            <w:tcW w:w="1666" w:type="dxa"/>
            <w:tcBorders/>
            <w:vAlign w:val="center"/>
          </w:tcPr>
          <w:p>
            <w:pPr>
              <w:pStyle w:val="TableContents"/>
              <w:bidi w:val="0"/>
              <w:spacing w:before="0" w:after="283"/>
              <w:jc w:val="left"/>
              <w:rPr>
                <w:sz w:val="4"/>
                <w:szCs w:val="4"/>
              </w:rPr>
            </w:pPr>
            <w:r>
              <w:rPr>
                <w:sz w:val="4"/>
                <w:szCs w:val="4"/>
              </w:rPr>
            </w:r>
          </w:p>
        </w:tc>
        <w:tc>
          <w:tcPr>
            <w:tcW w:w="1126" w:type="dxa"/>
            <w:tcBorders/>
            <w:vAlign w:val="center"/>
          </w:tcPr>
          <w:p>
            <w:pPr>
              <w:pStyle w:val="TableContents"/>
              <w:bidi w:val="0"/>
              <w:spacing w:before="0" w:after="283"/>
              <w:jc w:val="left"/>
              <w:rPr>
                <w:sz w:val="4"/>
                <w:szCs w:val="4"/>
              </w:rPr>
            </w:pPr>
            <w:r>
              <w:rPr>
                <w:sz w:val="4"/>
                <w:szCs w:val="4"/>
              </w:rPr>
            </w:r>
          </w:p>
        </w:tc>
        <w:tc>
          <w:tcPr>
            <w:tcW w:w="1351" w:type="dxa"/>
            <w:tcBorders/>
            <w:vAlign w:val="center"/>
          </w:tcPr>
          <w:p>
            <w:pPr>
              <w:pStyle w:val="TableContents"/>
              <w:bidi w:val="0"/>
              <w:spacing w:before="0" w:after="0"/>
              <w:ind w:left="0" w:right="0" w:hanging="0"/>
              <w:jc w:val="right"/>
              <w:rPr/>
            </w:pPr>
            <w:bookmarkStart w:id="219" w:name="TotalPreviouslyPaidAmt"/>
            <w:bookmarkEnd w:id="219"/>
            <w:r>
              <w:rPr/>
              <w:t xml:space="preserve">$ 0.00 </w:t>
            </w:r>
          </w:p>
        </w:tc>
        <w:tc>
          <w:tcPr>
            <w:tcW w:w="102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321" w:type="dxa"/>
            <w:tcBorders/>
            <w:vAlign w:val="center"/>
          </w:tcPr>
          <w:p>
            <w:pPr>
              <w:pStyle w:val="TableContents"/>
              <w:bidi w:val="0"/>
              <w:spacing w:before="0" w:after="283"/>
              <w:jc w:val="left"/>
              <w:rPr>
                <w:sz w:val="4"/>
                <w:szCs w:val="4"/>
              </w:rPr>
            </w:pPr>
            <w:r>
              <w:rPr>
                <w:sz w:val="4"/>
                <w:szCs w:val="4"/>
              </w:rPr>
            </w:r>
          </w:p>
        </w:tc>
      </w:tr>
      <w:tr>
        <w:trPr/>
        <w:tc>
          <w:tcPr>
            <w:tcW w:w="112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246" w:type="dxa"/>
            <w:tcBorders/>
            <w:vAlign w:val="center"/>
          </w:tcPr>
          <w:p>
            <w:pPr>
              <w:pStyle w:val="TableContents"/>
              <w:bidi w:val="0"/>
              <w:spacing w:before="0" w:after="283"/>
              <w:jc w:val="left"/>
              <w:rPr>
                <w:sz w:val="4"/>
                <w:szCs w:val="4"/>
              </w:rPr>
            </w:pPr>
            <w:r>
              <w:rPr>
                <w:sz w:val="4"/>
                <w:szCs w:val="4"/>
              </w:rPr>
            </w:r>
          </w:p>
        </w:tc>
        <w:tc>
          <w:tcPr>
            <w:tcW w:w="3768" w:type="dxa"/>
            <w:gridSpan w:val="3"/>
            <w:tcBorders/>
            <w:vAlign w:val="center"/>
          </w:tcPr>
          <w:p>
            <w:pPr>
              <w:pStyle w:val="TableContents"/>
              <w:bidi w:val="0"/>
              <w:spacing w:before="0" w:after="0"/>
              <w:ind w:left="0" w:right="0" w:hanging="0"/>
              <w:jc w:val="right"/>
              <w:rPr/>
            </w:pPr>
            <w:r>
              <w:rPr/>
              <w:t xml:space="preserve">Total Fee Offsets: </w:t>
            </w:r>
          </w:p>
        </w:tc>
        <w:tc>
          <w:tcPr>
            <w:tcW w:w="1156" w:type="dxa"/>
            <w:tcBorders/>
            <w:vAlign w:val="center"/>
          </w:tcPr>
          <w:p>
            <w:pPr>
              <w:pStyle w:val="TableContents"/>
              <w:bidi w:val="0"/>
              <w:spacing w:before="0" w:after="283"/>
              <w:jc w:val="left"/>
              <w:rPr>
                <w:sz w:val="4"/>
                <w:szCs w:val="4"/>
              </w:rPr>
            </w:pPr>
            <w:r>
              <w:rPr>
                <w:sz w:val="4"/>
                <w:szCs w:val="4"/>
              </w:rPr>
            </w:r>
          </w:p>
        </w:tc>
        <w:tc>
          <w:tcPr>
            <w:tcW w:w="1666" w:type="dxa"/>
            <w:tcBorders/>
            <w:vAlign w:val="center"/>
          </w:tcPr>
          <w:p>
            <w:pPr>
              <w:pStyle w:val="TableContents"/>
              <w:bidi w:val="0"/>
              <w:spacing w:before="0" w:after="283"/>
              <w:jc w:val="left"/>
              <w:rPr>
                <w:sz w:val="4"/>
                <w:szCs w:val="4"/>
              </w:rPr>
            </w:pPr>
            <w:r>
              <w:rPr>
                <w:sz w:val="4"/>
                <w:szCs w:val="4"/>
              </w:rPr>
            </w:r>
          </w:p>
        </w:tc>
        <w:tc>
          <w:tcPr>
            <w:tcW w:w="1126" w:type="dxa"/>
            <w:tcBorders/>
            <w:vAlign w:val="center"/>
          </w:tcPr>
          <w:p>
            <w:pPr>
              <w:pStyle w:val="TableContents"/>
              <w:bidi w:val="0"/>
              <w:spacing w:before="0" w:after="283"/>
              <w:jc w:val="left"/>
              <w:rPr>
                <w:sz w:val="4"/>
                <w:szCs w:val="4"/>
              </w:rPr>
            </w:pPr>
            <w:r>
              <w:rPr>
                <w:sz w:val="4"/>
                <w:szCs w:val="4"/>
              </w:rPr>
            </w:r>
          </w:p>
        </w:tc>
        <w:tc>
          <w:tcPr>
            <w:tcW w:w="1351" w:type="dxa"/>
            <w:tcBorders/>
            <w:vAlign w:val="center"/>
          </w:tcPr>
          <w:p>
            <w:pPr>
              <w:pStyle w:val="TableContents"/>
              <w:bidi w:val="0"/>
              <w:spacing w:before="0" w:after="0"/>
              <w:ind w:left="0" w:right="0" w:hanging="0"/>
              <w:jc w:val="right"/>
              <w:rPr/>
            </w:pPr>
            <w:bookmarkStart w:id="220" w:name="TotalOffsetAmt"/>
            <w:bookmarkEnd w:id="220"/>
            <w:r>
              <w:rPr/>
              <w:t xml:space="preserve">$ 8,265.00 </w:t>
            </w:r>
          </w:p>
        </w:tc>
        <w:tc>
          <w:tcPr>
            <w:tcW w:w="102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321" w:type="dxa"/>
            <w:tcBorders/>
            <w:vAlign w:val="center"/>
          </w:tcPr>
          <w:p>
            <w:pPr>
              <w:pStyle w:val="TableContents"/>
              <w:bidi w:val="0"/>
              <w:spacing w:before="0" w:after="283"/>
              <w:jc w:val="left"/>
              <w:rPr>
                <w:sz w:val="4"/>
                <w:szCs w:val="4"/>
              </w:rPr>
            </w:pPr>
            <w:r>
              <w:rPr>
                <w:sz w:val="4"/>
                <w:szCs w:val="4"/>
              </w:rPr>
            </w:r>
          </w:p>
        </w:tc>
      </w:tr>
      <w:tr>
        <w:trPr/>
        <w:tc>
          <w:tcPr>
            <w:tcW w:w="112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246" w:type="dxa"/>
            <w:tcBorders/>
            <w:vAlign w:val="center"/>
          </w:tcPr>
          <w:p>
            <w:pPr>
              <w:pStyle w:val="TableContents"/>
              <w:bidi w:val="0"/>
              <w:spacing w:before="0" w:after="283"/>
              <w:jc w:val="left"/>
              <w:rPr>
                <w:sz w:val="4"/>
                <w:szCs w:val="4"/>
              </w:rPr>
            </w:pPr>
            <w:r>
              <w:rPr>
                <w:sz w:val="4"/>
                <w:szCs w:val="4"/>
              </w:rPr>
            </w:r>
          </w:p>
        </w:tc>
        <w:tc>
          <w:tcPr>
            <w:tcW w:w="3768" w:type="dxa"/>
            <w:gridSpan w:val="3"/>
            <w:tcBorders/>
            <w:vAlign w:val="center"/>
          </w:tcPr>
          <w:p>
            <w:pPr>
              <w:pStyle w:val="TableContents"/>
              <w:bidi w:val="0"/>
              <w:spacing w:before="0" w:after="0"/>
              <w:ind w:left="0" w:right="0" w:hanging="0"/>
              <w:jc w:val="right"/>
              <w:rPr/>
            </w:pPr>
            <w:r>
              <w:rPr/>
              <w:t xml:space="preserve">Net Fee Due: </w:t>
            </w:r>
          </w:p>
        </w:tc>
        <w:tc>
          <w:tcPr>
            <w:tcW w:w="1156" w:type="dxa"/>
            <w:tcBorders/>
            <w:vAlign w:val="center"/>
          </w:tcPr>
          <w:p>
            <w:pPr>
              <w:pStyle w:val="TableContents"/>
              <w:bidi w:val="0"/>
              <w:spacing w:before="0" w:after="283"/>
              <w:jc w:val="left"/>
              <w:rPr>
                <w:sz w:val="4"/>
                <w:szCs w:val="4"/>
              </w:rPr>
            </w:pPr>
            <w:r>
              <w:rPr>
                <w:sz w:val="4"/>
                <w:szCs w:val="4"/>
              </w:rPr>
            </w:r>
          </w:p>
        </w:tc>
        <w:tc>
          <w:tcPr>
            <w:tcW w:w="1666" w:type="dxa"/>
            <w:tcBorders/>
            <w:vAlign w:val="center"/>
          </w:tcPr>
          <w:p>
            <w:pPr>
              <w:pStyle w:val="TableContents"/>
              <w:bidi w:val="0"/>
              <w:spacing w:before="0" w:after="283"/>
              <w:jc w:val="left"/>
              <w:rPr>
                <w:sz w:val="4"/>
                <w:szCs w:val="4"/>
              </w:rPr>
            </w:pPr>
            <w:r>
              <w:rPr>
                <w:sz w:val="4"/>
                <w:szCs w:val="4"/>
              </w:rPr>
            </w:r>
          </w:p>
        </w:tc>
        <w:tc>
          <w:tcPr>
            <w:tcW w:w="1126" w:type="dxa"/>
            <w:tcBorders/>
            <w:vAlign w:val="center"/>
          </w:tcPr>
          <w:p>
            <w:pPr>
              <w:pStyle w:val="TableContents"/>
              <w:bidi w:val="0"/>
              <w:spacing w:before="0" w:after="283"/>
              <w:jc w:val="left"/>
              <w:rPr>
                <w:sz w:val="4"/>
                <w:szCs w:val="4"/>
              </w:rPr>
            </w:pPr>
            <w:r>
              <w:rPr>
                <w:sz w:val="4"/>
                <w:szCs w:val="4"/>
              </w:rPr>
            </w:r>
          </w:p>
        </w:tc>
        <w:tc>
          <w:tcPr>
            <w:tcW w:w="1351" w:type="dxa"/>
            <w:tcBorders/>
            <w:vAlign w:val="center"/>
          </w:tcPr>
          <w:p>
            <w:pPr>
              <w:pStyle w:val="TableContents"/>
              <w:bidi w:val="0"/>
              <w:spacing w:before="0" w:after="0"/>
              <w:ind w:left="0" w:right="0" w:hanging="0"/>
              <w:jc w:val="right"/>
              <w:rPr/>
            </w:pPr>
            <w:bookmarkStart w:id="221" w:name="NetFeeAmt"/>
            <w:bookmarkEnd w:id="221"/>
            <w:r>
              <w:rPr/>
              <w:t xml:space="preserve">$ 2,092.50 </w:t>
            </w:r>
          </w:p>
        </w:tc>
        <w:tc>
          <w:tcPr>
            <w:tcW w:w="102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321" w:type="dxa"/>
            <w:tcBorders/>
            <w:vAlign w:val="center"/>
          </w:tcPr>
          <w:p>
            <w:pPr>
              <w:pStyle w:val="TableContents"/>
              <w:bidi w:val="0"/>
              <w:spacing w:before="0" w:after="283"/>
              <w:jc w:val="left"/>
              <w:rPr>
                <w:sz w:val="4"/>
                <w:szCs w:val="4"/>
              </w:rPr>
            </w:pPr>
            <w:r>
              <w:rPr>
                <w:sz w:val="4"/>
                <w:szCs w:val="4"/>
              </w:rPr>
            </w:r>
          </w:p>
        </w:tc>
      </w:tr>
    </w:tbl>
    <w:tbl>
      <w:tblPr>
        <w:tblW w:w="1730" w:type="dxa"/>
        <w:jc w:val="left"/>
        <w:tblInd w:w="0" w:type="dxa"/>
        <w:tblLayout w:type="fixed"/>
        <w:tblCellMar>
          <w:top w:w="28" w:type="dxa"/>
          <w:left w:w="28" w:type="dxa"/>
          <w:bottom w:w="28" w:type="dxa"/>
          <w:right w:w="28" w:type="dxa"/>
        </w:tblCellMar>
      </w:tblPr>
      <w:tblGrid>
        <w:gridCol w:w="1576"/>
        <w:gridCol w:w="154"/>
      </w:tblGrid>
      <w:tr>
        <w:trPr/>
        <w:tc>
          <w:tcPr>
            <w:tcW w:w="1576" w:type="dxa"/>
            <w:tcBorders/>
            <w:vAlign w:val="center"/>
          </w:tcPr>
          <w:p>
            <w:pPr>
              <w:pStyle w:val="TableContents"/>
              <w:bidi w:val="0"/>
              <w:spacing w:before="0" w:after="75"/>
              <w:ind w:left="0" w:right="0" w:hanging="0"/>
              <w:jc w:val="left"/>
              <w:rPr/>
            </w:pPr>
            <w:r>
              <w:rPr>
                <w:b/>
              </w:rPr>
              <w:t>Offering Note</w:t>
            </w:r>
            <w:r>
              <w:rPr/>
              <w:t xml:space="preserve"> </w:t>
            </w:r>
          </w:p>
        </w:tc>
        <w:tc>
          <w:tcPr>
            <w:tcW w:w="154"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199"/>
        <w:gridCol w:w="1297"/>
        <w:gridCol w:w="8709"/>
      </w:tblGrid>
      <w:tr>
        <w:trPr/>
        <w:tc>
          <w:tcPr>
            <w:tcW w:w="199" w:type="dxa"/>
            <w:tcBorders/>
            <w:vAlign w:val="center"/>
          </w:tcPr>
          <w:p>
            <w:pPr>
              <w:pStyle w:val="TableContents"/>
              <w:bidi w:val="0"/>
              <w:spacing w:lineRule="auto" w:line="288" w:before="0" w:after="0"/>
              <w:ind w:left="0" w:right="0" w:hanging="0"/>
              <w:jc w:val="left"/>
              <w:rPr/>
            </w:pPr>
            <w:r>
              <w:rPr>
                <w:sz w:val="15"/>
              </w:rPr>
              <w:t>1</w:t>
            </w:r>
            <w:r>
              <w:rPr/>
              <w:t xml:space="preserve"> </w:t>
            </w:r>
          </w:p>
        </w:tc>
        <w:tc>
          <w:tcPr>
            <w:tcW w:w="10006" w:type="dxa"/>
            <w:gridSpan w:val="2"/>
            <w:tcBorders/>
            <w:vAlign w:val="center"/>
          </w:tcPr>
          <w:p>
            <w:pPr>
              <w:pStyle w:val="TableContents"/>
              <w:bidi w:val="0"/>
              <w:spacing w:before="0" w:after="283"/>
              <w:jc w:val="left"/>
              <w:rPr/>
            </w:pPr>
            <w:r>
              <w:rPr/>
              <w:t xml:space="preserve">Securities registered hereunder may be sold separately, together or as units with other securities registered hereunder. The registrant is registering an indeterminate number of securities for offer and sale from time to time at indeterminate prices, which shall have an aggregate offering price not to exceed $75,000,000. In addition, pursuant to Rule 416(a) under the Securities Act of 1933, as amended, this registration statement shall be deemed to cover any additional number of securities that may be issued from time to time to prevent dilution as a result of a distribution, split, combination, or similar transaction. Securities registered hereunder may be sold separately, or together with other securities registered hereunder. Includes consideration to be received by the registrant, if applicable, for registered securities that are issuable upon exercise, conversion, or exchange of other registered securities. The proposed maximum aggregate offering price per class of security will be determined from time to time by the registrant in connection with the issuance by the registrant of the securities registered hereunder and is not specified as to each class of security pursuant to Instructions to the Calculation of Filing Fee Tables and Related Disclosure (2)(A)(iii)(b) of Form F-3 under the Securities Act. Estimated solely for the purpose of computing the amount of the registration fee pursuant to Rule 457(o) under the Securities Act. </w:t>
            </w:r>
          </w:p>
        </w:tc>
      </w:tr>
      <w:tr>
        <w:trPr/>
        <w:tc>
          <w:tcPr>
            <w:tcW w:w="1496" w:type="dxa"/>
            <w:gridSpan w:val="2"/>
            <w:tcBorders/>
            <w:vAlign w:val="center"/>
          </w:tcPr>
          <w:p>
            <w:pPr>
              <w:pStyle w:val="HorizontalLine"/>
              <w:pBdr>
                <w:bottom w:val="double" w:sz="2" w:space="0" w:color="808080"/>
              </w:pBdr>
              <w:bidi w:val="0"/>
              <w:spacing w:before="0" w:after="283"/>
              <w:jc w:val="left"/>
              <w:rPr/>
            </w:pPr>
            <w:r>
              <w:rPr/>
            </w:r>
          </w:p>
        </w:tc>
        <w:tc>
          <w:tcPr>
            <w:tcW w:w="8709" w:type="dxa"/>
            <w:tcBorders/>
          </w:tcPr>
          <w:p>
            <w:pPr>
              <w:pStyle w:val="TableContents"/>
              <w:bidi w:val="0"/>
              <w:spacing w:before="0" w:after="283"/>
              <w:jc w:val="left"/>
              <w:rPr>
                <w:sz w:val="4"/>
                <w:szCs w:val="4"/>
              </w:rPr>
            </w:pPr>
            <w:r>
              <w:rPr>
                <w:sz w:val="4"/>
                <w:szCs w:val="4"/>
              </w:rPr>
            </w:r>
          </w:p>
        </w:tc>
      </w:tr>
    </w:tbl>
    <w:tbl>
      <w:tblPr>
        <w:tblW w:w="6122" w:type="dxa"/>
        <w:jc w:val="left"/>
        <w:tblInd w:w="0" w:type="dxa"/>
        <w:tblLayout w:type="fixed"/>
        <w:tblCellMar>
          <w:top w:w="28" w:type="dxa"/>
          <w:left w:w="28" w:type="dxa"/>
          <w:bottom w:w="28" w:type="dxa"/>
          <w:right w:w="28" w:type="dxa"/>
        </w:tblCellMar>
      </w:tblPr>
      <w:tblGrid>
        <w:gridCol w:w="4171"/>
        <w:gridCol w:w="1951"/>
      </w:tblGrid>
      <w:tr>
        <w:trPr/>
        <w:tc>
          <w:tcPr>
            <w:tcW w:w="4171" w:type="dxa"/>
            <w:tcBorders/>
            <w:vAlign w:val="center"/>
          </w:tcPr>
          <w:p>
            <w:pPr>
              <w:pStyle w:val="TableHeading"/>
              <w:bidi w:val="0"/>
              <w:spacing w:before="0" w:after="283"/>
              <w:jc w:val="left"/>
              <w:rPr/>
            </w:pPr>
            <w:r>
              <w:rPr>
                <w:b/>
              </w:rPr>
              <w:t>Table 2: Fee Offset Claims and Sources</w:t>
            </w:r>
            <w:r>
              <w:rPr/>
              <w:t xml:space="preserve"> </w:t>
            </w:r>
          </w:p>
        </w:tc>
        <w:tc>
          <w:tcPr>
            <w:tcW w:w="1951" w:type="dxa"/>
            <w:tcBorders/>
            <w:vAlign w:val="center"/>
          </w:tcPr>
          <w:p>
            <w:pPr>
              <w:pStyle w:val="TableHeading"/>
              <w:bidi w:val="0"/>
              <w:spacing w:before="0" w:after="283"/>
              <w:jc w:val="right"/>
              <w:rPr/>
            </w:pPr>
            <w:r>
              <w:rPr/>
              <w:t>☐</w:t>
            </w:r>
            <w:r>
              <w:rPr/>
              <w:t xml:space="preserve">Not Applicable </w:t>
            </w:r>
          </w:p>
        </w:tc>
      </w:tr>
    </w:tbl>
    <w:tbl>
      <w:tblPr>
        <w:tblW w:w="12692" w:type="dxa"/>
        <w:jc w:val="left"/>
        <w:tblInd w:w="0" w:type="dxa"/>
        <w:tblLayout w:type="fixed"/>
        <w:tblCellMar>
          <w:top w:w="28" w:type="dxa"/>
          <w:left w:w="28" w:type="dxa"/>
          <w:bottom w:w="28" w:type="dxa"/>
          <w:right w:w="28" w:type="dxa"/>
        </w:tblCellMar>
      </w:tblPr>
      <w:tblGrid>
        <w:gridCol w:w="871"/>
        <w:gridCol w:w="226"/>
        <w:gridCol w:w="1396"/>
        <w:gridCol w:w="691"/>
        <w:gridCol w:w="961"/>
        <w:gridCol w:w="706"/>
        <w:gridCol w:w="691"/>
        <w:gridCol w:w="1126"/>
        <w:gridCol w:w="1186"/>
        <w:gridCol w:w="1186"/>
        <w:gridCol w:w="1186"/>
        <w:gridCol w:w="1186"/>
        <w:gridCol w:w="1126"/>
        <w:gridCol w:w="154"/>
      </w:tblGrid>
      <w:tr>
        <w:trPr/>
        <w:tc>
          <w:tcPr>
            <w:tcW w:w="871" w:type="dxa"/>
            <w:tcBorders/>
            <w:shd w:fill="9ADAF6" w:val="clear"/>
            <w:vAlign w:val="center"/>
          </w:tcPr>
          <w:p>
            <w:pPr>
              <w:pStyle w:val="TableHeading"/>
              <w:bidi w:val="0"/>
              <w:spacing w:before="0" w:after="283"/>
              <w:rPr>
                <w:sz w:val="4"/>
                <w:szCs w:val="4"/>
              </w:rPr>
            </w:pPr>
            <w:r>
              <w:rPr>
                <w:sz w:val="4"/>
                <w:szCs w:val="4"/>
              </w:rPr>
            </w:r>
          </w:p>
        </w:tc>
        <w:tc>
          <w:tcPr>
            <w:tcW w:w="226" w:type="dxa"/>
            <w:tcBorders/>
            <w:shd w:fill="9ADAF6" w:val="clear"/>
            <w:vAlign w:val="center"/>
          </w:tcPr>
          <w:p>
            <w:pPr>
              <w:pStyle w:val="TableHeading"/>
              <w:bidi w:val="0"/>
              <w:spacing w:before="0" w:after="283"/>
              <w:rPr>
                <w:sz w:val="4"/>
                <w:szCs w:val="4"/>
              </w:rPr>
            </w:pPr>
            <w:r>
              <w:rPr>
                <w:sz w:val="4"/>
                <w:szCs w:val="4"/>
              </w:rPr>
            </w:r>
          </w:p>
        </w:tc>
        <w:tc>
          <w:tcPr>
            <w:tcW w:w="1396" w:type="dxa"/>
            <w:tcBorders/>
            <w:shd w:fill="9ADAF6" w:val="clear"/>
            <w:vAlign w:val="center"/>
          </w:tcPr>
          <w:p>
            <w:pPr>
              <w:pStyle w:val="TableHeading"/>
              <w:suppressLineNumbers/>
              <w:bidi w:val="0"/>
              <w:spacing w:before="0" w:after="283"/>
              <w:jc w:val="center"/>
              <w:rPr/>
            </w:pPr>
            <w:r>
              <w:rPr/>
              <w:t xml:space="preserve">Registrant or Filer Name </w:t>
            </w:r>
          </w:p>
        </w:tc>
        <w:tc>
          <w:tcPr>
            <w:tcW w:w="691" w:type="dxa"/>
            <w:tcBorders/>
            <w:shd w:fill="9ADAF6" w:val="clear"/>
            <w:vAlign w:val="center"/>
          </w:tcPr>
          <w:p>
            <w:pPr>
              <w:pStyle w:val="TableHeading"/>
              <w:suppressLineNumbers/>
              <w:bidi w:val="0"/>
              <w:spacing w:before="0" w:after="283"/>
              <w:jc w:val="center"/>
              <w:rPr/>
            </w:pPr>
            <w:r>
              <w:rPr/>
              <w:t xml:space="preserve">Form or Filing Type </w:t>
            </w:r>
          </w:p>
        </w:tc>
        <w:tc>
          <w:tcPr>
            <w:tcW w:w="961" w:type="dxa"/>
            <w:tcBorders/>
            <w:shd w:fill="9ADAF6" w:val="clear"/>
            <w:vAlign w:val="center"/>
          </w:tcPr>
          <w:p>
            <w:pPr>
              <w:pStyle w:val="TableHeading"/>
              <w:suppressLineNumbers/>
              <w:bidi w:val="0"/>
              <w:spacing w:before="0" w:after="283"/>
              <w:jc w:val="center"/>
              <w:rPr/>
            </w:pPr>
            <w:r>
              <w:rPr/>
              <w:t xml:space="preserve">File Number </w:t>
            </w:r>
          </w:p>
        </w:tc>
        <w:tc>
          <w:tcPr>
            <w:tcW w:w="706" w:type="dxa"/>
            <w:tcBorders/>
            <w:shd w:fill="9ADAF6" w:val="clear"/>
            <w:vAlign w:val="center"/>
          </w:tcPr>
          <w:p>
            <w:pPr>
              <w:pStyle w:val="TableHeading"/>
              <w:suppressLineNumbers/>
              <w:bidi w:val="0"/>
              <w:spacing w:before="0" w:after="283"/>
              <w:jc w:val="center"/>
              <w:rPr/>
            </w:pPr>
            <w:r>
              <w:rPr/>
              <w:t xml:space="preserve">Initial Filing Date </w:t>
            </w:r>
          </w:p>
        </w:tc>
        <w:tc>
          <w:tcPr>
            <w:tcW w:w="691" w:type="dxa"/>
            <w:tcBorders/>
            <w:shd w:fill="9ADAF6" w:val="clear"/>
            <w:vAlign w:val="center"/>
          </w:tcPr>
          <w:p>
            <w:pPr>
              <w:pStyle w:val="TableHeading"/>
              <w:suppressLineNumbers/>
              <w:bidi w:val="0"/>
              <w:spacing w:before="0" w:after="283"/>
              <w:jc w:val="center"/>
              <w:rPr/>
            </w:pPr>
            <w:r>
              <w:rPr/>
              <w:t xml:space="preserve">Filing Date </w:t>
            </w:r>
          </w:p>
        </w:tc>
        <w:tc>
          <w:tcPr>
            <w:tcW w:w="1126" w:type="dxa"/>
            <w:tcBorders/>
            <w:shd w:fill="9ADAF6" w:val="clear"/>
            <w:vAlign w:val="center"/>
          </w:tcPr>
          <w:p>
            <w:pPr>
              <w:pStyle w:val="TableHeading"/>
              <w:suppressLineNumbers/>
              <w:bidi w:val="0"/>
              <w:spacing w:before="0" w:after="283"/>
              <w:jc w:val="center"/>
              <w:rPr/>
            </w:pPr>
            <w:r>
              <w:rPr/>
              <w:t xml:space="preserve">Fee Offset Claimed </w:t>
            </w:r>
          </w:p>
        </w:tc>
        <w:tc>
          <w:tcPr>
            <w:tcW w:w="1186" w:type="dxa"/>
            <w:tcBorders/>
            <w:shd w:fill="9ADAF6" w:val="clear"/>
            <w:vAlign w:val="center"/>
          </w:tcPr>
          <w:p>
            <w:pPr>
              <w:pStyle w:val="TableHeading"/>
              <w:suppressLineNumbers/>
              <w:bidi w:val="0"/>
              <w:spacing w:before="0" w:after="283"/>
              <w:jc w:val="center"/>
              <w:rPr/>
            </w:pPr>
            <w:r>
              <w:rPr/>
              <w:t xml:space="preserve">Security Type Associated with Fee Offset Claimed </w:t>
            </w:r>
          </w:p>
        </w:tc>
        <w:tc>
          <w:tcPr>
            <w:tcW w:w="1186" w:type="dxa"/>
            <w:tcBorders/>
            <w:shd w:fill="9ADAF6" w:val="clear"/>
            <w:vAlign w:val="center"/>
          </w:tcPr>
          <w:p>
            <w:pPr>
              <w:pStyle w:val="TableHeading"/>
              <w:suppressLineNumbers/>
              <w:bidi w:val="0"/>
              <w:spacing w:before="0" w:after="283"/>
              <w:jc w:val="center"/>
              <w:rPr/>
            </w:pPr>
            <w:r>
              <w:rPr/>
              <w:t xml:space="preserve">Security Title Associated with Fee Offset Claimed </w:t>
            </w:r>
          </w:p>
        </w:tc>
        <w:tc>
          <w:tcPr>
            <w:tcW w:w="1186" w:type="dxa"/>
            <w:tcBorders/>
            <w:shd w:fill="9ADAF6" w:val="clear"/>
            <w:vAlign w:val="center"/>
          </w:tcPr>
          <w:p>
            <w:pPr>
              <w:pStyle w:val="TableHeading"/>
              <w:suppressLineNumbers/>
              <w:bidi w:val="0"/>
              <w:spacing w:before="0" w:after="283"/>
              <w:jc w:val="center"/>
              <w:rPr/>
            </w:pPr>
            <w:r>
              <w:rPr/>
              <w:t xml:space="preserve">Unsold Securities Associated with Fee Offset Claimed </w:t>
            </w:r>
          </w:p>
        </w:tc>
        <w:tc>
          <w:tcPr>
            <w:tcW w:w="1186" w:type="dxa"/>
            <w:tcBorders/>
            <w:shd w:fill="9ADAF6" w:val="clear"/>
            <w:vAlign w:val="center"/>
          </w:tcPr>
          <w:p>
            <w:pPr>
              <w:pStyle w:val="TableHeading"/>
              <w:suppressLineNumbers/>
              <w:bidi w:val="0"/>
              <w:spacing w:before="0" w:after="283"/>
              <w:jc w:val="center"/>
              <w:rPr/>
            </w:pPr>
            <w:r>
              <w:rPr/>
              <w:t xml:space="preserve">Unsold Aggregate Offering Amount Associated with Fee Offset Claimed </w:t>
            </w:r>
          </w:p>
        </w:tc>
        <w:tc>
          <w:tcPr>
            <w:tcW w:w="1126" w:type="dxa"/>
            <w:tcBorders/>
            <w:shd w:fill="9ADAF6" w:val="clear"/>
            <w:vAlign w:val="center"/>
          </w:tcPr>
          <w:p>
            <w:pPr>
              <w:pStyle w:val="TableHeading"/>
              <w:suppressLineNumbers/>
              <w:bidi w:val="0"/>
              <w:spacing w:before="0" w:after="283"/>
              <w:jc w:val="center"/>
              <w:rPr/>
            </w:pPr>
            <w:r>
              <w:rPr/>
              <w:t xml:space="preserve">Fee Paid with Fee Offset Source </w:t>
            </w:r>
          </w:p>
        </w:tc>
        <w:tc>
          <w:tcPr>
            <w:tcW w:w="154" w:type="dxa"/>
            <w:tcBorders/>
            <w:shd w:fill="9ADAF6" w:val="clear"/>
          </w:tcPr>
          <w:p>
            <w:pPr>
              <w:pStyle w:val="TableContents"/>
              <w:bidi w:val="0"/>
              <w:spacing w:before="0" w:after="283"/>
              <w:jc w:val="left"/>
              <w:rPr>
                <w:sz w:val="4"/>
                <w:szCs w:val="4"/>
              </w:rPr>
            </w:pPr>
            <w:r>
              <w:rPr>
                <w:sz w:val="4"/>
                <w:szCs w:val="4"/>
              </w:rPr>
            </w:r>
          </w:p>
        </w:tc>
      </w:tr>
      <w:tr>
        <w:trPr/>
        <w:tc>
          <w:tcPr>
            <w:tcW w:w="12692" w:type="dxa"/>
            <w:gridSpan w:val="14"/>
            <w:tcBorders/>
            <w:vAlign w:val="center"/>
          </w:tcPr>
          <w:p>
            <w:pPr>
              <w:pStyle w:val="TableContents"/>
              <w:bidi w:val="0"/>
              <w:spacing w:before="0" w:after="283"/>
              <w:jc w:val="center"/>
              <w:rPr/>
            </w:pPr>
            <w:r>
              <w:rPr>
                <w:b/>
              </w:rPr>
              <w:t>Rules 457(b) and 0-11(a)(2)</w:t>
            </w:r>
            <w:r>
              <w:rPr/>
              <w:t xml:space="preserve"> </w:t>
            </w:r>
          </w:p>
        </w:tc>
      </w:tr>
      <w:tr>
        <w:trPr/>
        <w:tc>
          <w:tcPr>
            <w:tcW w:w="871" w:type="dxa"/>
            <w:tcBorders/>
            <w:shd w:fill="E7E7E2" w:val="clear"/>
            <w:vAlign w:val="center"/>
          </w:tcPr>
          <w:p>
            <w:pPr>
              <w:pStyle w:val="TableContents"/>
              <w:bidi w:val="0"/>
              <w:spacing w:before="0" w:after="283"/>
              <w:jc w:val="left"/>
              <w:rPr/>
            </w:pPr>
            <w:r>
              <w:rPr/>
              <w:t xml:space="preserve">Fee Offset Claims </w:t>
            </w:r>
          </w:p>
        </w:tc>
        <w:tc>
          <w:tcPr>
            <w:tcW w:w="226" w:type="dxa"/>
            <w:tcBorders/>
            <w:shd w:fill="E7E7E2" w:val="clear"/>
            <w:vAlign w:val="center"/>
          </w:tcPr>
          <w:p>
            <w:pPr>
              <w:pStyle w:val="TableContents"/>
              <w:bidi w:val="0"/>
              <w:spacing w:before="0" w:after="283"/>
              <w:jc w:val="left"/>
              <w:rPr/>
            </w:pPr>
            <w:r>
              <w:rPr/>
              <w:t xml:space="preserve">1 </w:t>
            </w:r>
          </w:p>
        </w:tc>
        <w:tc>
          <w:tcPr>
            <w:tcW w:w="1396"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pPr>
            <w:r>
              <w:rPr/>
              <w:t xml:space="preserve">F-3 </w:t>
            </w:r>
          </w:p>
        </w:tc>
        <w:tc>
          <w:tcPr>
            <w:tcW w:w="961" w:type="dxa"/>
            <w:tcBorders/>
            <w:shd w:fill="E7E7E2" w:val="clear"/>
            <w:vAlign w:val="center"/>
          </w:tcPr>
          <w:p>
            <w:pPr>
              <w:pStyle w:val="TableContents"/>
              <w:bidi w:val="0"/>
              <w:spacing w:before="0" w:after="283"/>
              <w:jc w:val="left"/>
              <w:rPr/>
            </w:pPr>
            <w:r>
              <w:rPr/>
              <w:t xml:space="preserve">333-292793 </w:t>
            </w:r>
          </w:p>
        </w:tc>
        <w:tc>
          <w:tcPr>
            <w:tcW w:w="706" w:type="dxa"/>
            <w:tcBorders/>
            <w:shd w:fill="E7E7E2" w:val="clear"/>
            <w:vAlign w:val="center"/>
          </w:tcPr>
          <w:p>
            <w:pPr>
              <w:pStyle w:val="TableContents"/>
              <w:bidi w:val="0"/>
              <w:spacing w:before="0" w:after="283"/>
              <w:jc w:val="left"/>
              <w:rPr/>
            </w:pPr>
            <w:r>
              <w:rPr/>
              <w:t xml:space="preserve">01/16/2026 </w:t>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1126" w:type="dxa"/>
            <w:tcBorders/>
            <w:shd w:fill="E7E7E2" w:val="clear"/>
            <w:vAlign w:val="center"/>
          </w:tcPr>
          <w:p>
            <w:pPr>
              <w:pStyle w:val="TableContents"/>
              <w:bidi w:val="0"/>
              <w:spacing w:before="0" w:after="283"/>
              <w:jc w:val="right"/>
              <w:rPr/>
            </w:pPr>
            <w:r>
              <w:rPr/>
              <w:t xml:space="preserve">$ 8,265.00 </w:t>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26" w:type="dxa"/>
            <w:tcBorders/>
            <w:shd w:fill="E7E7E2" w:val="clear"/>
            <w:vAlign w:val="center"/>
          </w:tcPr>
          <w:p>
            <w:pPr>
              <w:pStyle w:val="TableContents"/>
              <w:bidi w:val="0"/>
              <w:spacing w:before="0" w:after="283"/>
              <w:jc w:val="left"/>
              <w:rPr>
                <w:sz w:val="4"/>
                <w:szCs w:val="4"/>
              </w:rPr>
            </w:pPr>
            <w:r>
              <w:rPr>
                <w:sz w:val="4"/>
                <w:szCs w:val="4"/>
              </w:rPr>
            </w:r>
          </w:p>
        </w:tc>
        <w:tc>
          <w:tcPr>
            <w:tcW w:w="154" w:type="dxa"/>
            <w:tcBorders/>
            <w:shd w:fill="E7E7E2" w:val="clear"/>
          </w:tcPr>
          <w:p>
            <w:pPr>
              <w:pStyle w:val="TableContents"/>
              <w:bidi w:val="0"/>
              <w:spacing w:before="0" w:after="283"/>
              <w:jc w:val="left"/>
              <w:rPr>
                <w:sz w:val="4"/>
                <w:szCs w:val="4"/>
              </w:rPr>
            </w:pPr>
            <w:r>
              <w:rPr>
                <w:sz w:val="4"/>
                <w:szCs w:val="4"/>
              </w:rPr>
            </w:r>
          </w:p>
        </w:tc>
      </w:tr>
      <w:tr>
        <w:trPr/>
        <w:tc>
          <w:tcPr>
            <w:tcW w:w="871" w:type="dxa"/>
            <w:tcBorders/>
            <w:shd w:fill="E7E7E2" w:val="clear"/>
            <w:vAlign w:val="center"/>
          </w:tcPr>
          <w:p>
            <w:pPr>
              <w:pStyle w:val="TableContents"/>
              <w:bidi w:val="0"/>
              <w:spacing w:before="0" w:after="283"/>
              <w:jc w:val="left"/>
              <w:rPr/>
            </w:pPr>
            <w:r>
              <w:rPr/>
              <w:t xml:space="preserve">Fee Offset Sources </w:t>
            </w:r>
          </w:p>
        </w:tc>
        <w:tc>
          <w:tcPr>
            <w:tcW w:w="226" w:type="dxa"/>
            <w:tcBorders/>
            <w:shd w:fill="E7E7E2" w:val="clear"/>
            <w:vAlign w:val="center"/>
          </w:tcPr>
          <w:p>
            <w:pPr>
              <w:pStyle w:val="TableContents"/>
              <w:bidi w:val="0"/>
              <w:spacing w:before="0" w:after="283"/>
              <w:jc w:val="left"/>
              <w:rPr>
                <w:sz w:val="4"/>
                <w:szCs w:val="4"/>
              </w:rPr>
            </w:pPr>
            <w:r>
              <w:rPr>
                <w:sz w:val="4"/>
                <w:szCs w:val="4"/>
              </w:rPr>
            </w:r>
          </w:p>
        </w:tc>
        <w:tc>
          <w:tcPr>
            <w:tcW w:w="1396" w:type="dxa"/>
            <w:tcBorders/>
            <w:shd w:fill="E7E7E2" w:val="clear"/>
            <w:vAlign w:val="center"/>
          </w:tcPr>
          <w:p>
            <w:pPr>
              <w:pStyle w:val="TableContents"/>
              <w:bidi w:val="0"/>
              <w:spacing w:before="0" w:after="283"/>
              <w:jc w:val="left"/>
              <w:rPr/>
            </w:pPr>
            <w:r>
              <w:rPr/>
              <w:t xml:space="preserve">Niki BioSolutions, Inc. </w:t>
            </w:r>
          </w:p>
        </w:tc>
        <w:tc>
          <w:tcPr>
            <w:tcW w:w="691" w:type="dxa"/>
            <w:tcBorders/>
            <w:shd w:fill="E7E7E2" w:val="clear"/>
            <w:vAlign w:val="center"/>
          </w:tcPr>
          <w:p>
            <w:pPr>
              <w:pStyle w:val="TableContents"/>
              <w:bidi w:val="0"/>
              <w:spacing w:before="0" w:after="283"/>
              <w:jc w:val="left"/>
              <w:rPr/>
            </w:pPr>
            <w:r>
              <w:rPr/>
              <w:t xml:space="preserve">F-3 </w:t>
            </w:r>
          </w:p>
        </w:tc>
        <w:tc>
          <w:tcPr>
            <w:tcW w:w="961" w:type="dxa"/>
            <w:tcBorders/>
            <w:shd w:fill="E7E7E2" w:val="clear"/>
            <w:vAlign w:val="center"/>
          </w:tcPr>
          <w:p>
            <w:pPr>
              <w:pStyle w:val="TableContents"/>
              <w:bidi w:val="0"/>
              <w:spacing w:before="0" w:after="283"/>
              <w:jc w:val="left"/>
              <w:rPr/>
            </w:pPr>
            <w:r>
              <w:rPr/>
              <w:t xml:space="preserve">333-292793 </w:t>
            </w:r>
          </w:p>
        </w:tc>
        <w:tc>
          <w:tcPr>
            <w:tcW w:w="706"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pPr>
            <w:r>
              <w:rPr/>
              <w:t xml:space="preserve">01/16/2026 </w:t>
            </w:r>
          </w:p>
        </w:tc>
        <w:tc>
          <w:tcPr>
            <w:tcW w:w="112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26" w:type="dxa"/>
            <w:tcBorders/>
            <w:shd w:fill="E7E7E2" w:val="clear"/>
            <w:vAlign w:val="center"/>
          </w:tcPr>
          <w:p>
            <w:pPr>
              <w:pStyle w:val="TableContents"/>
              <w:bidi w:val="0"/>
              <w:spacing w:before="0" w:after="283"/>
              <w:jc w:val="right"/>
              <w:rPr/>
            </w:pPr>
            <w:r>
              <w:rPr/>
              <w:t xml:space="preserve">$ 8,265.00 </w:t>
            </w:r>
          </w:p>
        </w:tc>
        <w:tc>
          <w:tcPr>
            <w:tcW w:w="154" w:type="dxa"/>
            <w:tcBorders/>
            <w:shd w:fill="E7E7E2" w:val="clear"/>
          </w:tcPr>
          <w:p>
            <w:pPr>
              <w:pStyle w:val="TableContents"/>
              <w:bidi w:val="0"/>
              <w:spacing w:before="0" w:after="283"/>
              <w:jc w:val="left"/>
              <w:rPr>
                <w:sz w:val="4"/>
                <w:szCs w:val="4"/>
              </w:rPr>
            </w:pPr>
            <w:r>
              <w:rPr>
                <w:sz w:val="4"/>
                <w:szCs w:val="4"/>
              </w:rPr>
            </w:r>
          </w:p>
        </w:tc>
      </w:tr>
      <w:tr>
        <w:trPr/>
        <w:tc>
          <w:tcPr>
            <w:tcW w:w="12692" w:type="dxa"/>
            <w:gridSpan w:val="14"/>
            <w:tcBorders/>
            <w:vAlign w:val="center"/>
          </w:tcPr>
          <w:p>
            <w:pPr>
              <w:pStyle w:val="TableContents"/>
              <w:bidi w:val="0"/>
              <w:spacing w:before="0" w:after="283"/>
              <w:jc w:val="center"/>
              <w:rPr/>
            </w:pPr>
            <w:r>
              <w:rPr>
                <w:b/>
              </w:rPr>
              <w:t>Rule 457(p)</w:t>
            </w:r>
            <w:r>
              <w:rPr/>
              <w:t xml:space="preserve"> </w:t>
            </w:r>
          </w:p>
        </w:tc>
      </w:tr>
      <w:tr>
        <w:trPr/>
        <w:tc>
          <w:tcPr>
            <w:tcW w:w="871" w:type="dxa"/>
            <w:tcBorders/>
            <w:shd w:fill="E7E7E2" w:val="clear"/>
            <w:vAlign w:val="center"/>
          </w:tcPr>
          <w:p>
            <w:pPr>
              <w:pStyle w:val="TableContents"/>
              <w:bidi w:val="0"/>
              <w:spacing w:before="0" w:after="283"/>
              <w:jc w:val="left"/>
              <w:rPr/>
            </w:pPr>
            <w:r>
              <w:rPr/>
              <w:t xml:space="preserve">Fee Offset Claims </w:t>
            </w:r>
          </w:p>
        </w:tc>
        <w:tc>
          <w:tcPr>
            <w:tcW w:w="226" w:type="dxa"/>
            <w:tcBorders/>
            <w:shd w:fill="E7E7E2" w:val="clear"/>
            <w:vAlign w:val="center"/>
          </w:tcPr>
          <w:p>
            <w:pPr>
              <w:pStyle w:val="TableContents"/>
              <w:bidi w:val="0"/>
              <w:spacing w:before="0" w:after="283"/>
              <w:jc w:val="left"/>
              <w:rPr>
                <w:sz w:val="4"/>
                <w:szCs w:val="4"/>
              </w:rPr>
            </w:pPr>
            <w:r>
              <w:rPr>
                <w:sz w:val="4"/>
                <w:szCs w:val="4"/>
              </w:rPr>
            </w:r>
          </w:p>
        </w:tc>
        <w:tc>
          <w:tcPr>
            <w:tcW w:w="1396"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706"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112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26" w:type="dxa"/>
            <w:tcBorders/>
            <w:shd w:fill="E7E7E2" w:val="clear"/>
            <w:vAlign w:val="center"/>
          </w:tcPr>
          <w:p>
            <w:pPr>
              <w:pStyle w:val="TableContents"/>
              <w:bidi w:val="0"/>
              <w:spacing w:before="0" w:after="283"/>
              <w:jc w:val="left"/>
              <w:rPr>
                <w:sz w:val="4"/>
                <w:szCs w:val="4"/>
              </w:rPr>
            </w:pPr>
            <w:r>
              <w:rPr>
                <w:sz w:val="4"/>
                <w:szCs w:val="4"/>
              </w:rPr>
            </w:r>
          </w:p>
        </w:tc>
        <w:tc>
          <w:tcPr>
            <w:tcW w:w="154" w:type="dxa"/>
            <w:tcBorders/>
            <w:shd w:fill="E7E7E2" w:val="clear"/>
          </w:tcPr>
          <w:p>
            <w:pPr>
              <w:pStyle w:val="TableContents"/>
              <w:bidi w:val="0"/>
              <w:spacing w:before="0" w:after="283"/>
              <w:jc w:val="left"/>
              <w:rPr>
                <w:sz w:val="4"/>
                <w:szCs w:val="4"/>
              </w:rPr>
            </w:pPr>
            <w:r>
              <w:rPr>
                <w:sz w:val="4"/>
                <w:szCs w:val="4"/>
              </w:rPr>
            </w:r>
          </w:p>
        </w:tc>
      </w:tr>
      <w:tr>
        <w:trPr/>
        <w:tc>
          <w:tcPr>
            <w:tcW w:w="871" w:type="dxa"/>
            <w:tcBorders/>
            <w:shd w:fill="E7E7E2" w:val="clear"/>
            <w:vAlign w:val="center"/>
          </w:tcPr>
          <w:p>
            <w:pPr>
              <w:pStyle w:val="TableContents"/>
              <w:bidi w:val="0"/>
              <w:spacing w:before="0" w:after="283"/>
              <w:jc w:val="left"/>
              <w:rPr/>
            </w:pPr>
            <w:r>
              <w:rPr/>
              <w:t xml:space="preserve">Fee Offset Sources </w:t>
            </w:r>
          </w:p>
        </w:tc>
        <w:tc>
          <w:tcPr>
            <w:tcW w:w="226" w:type="dxa"/>
            <w:tcBorders/>
            <w:shd w:fill="E7E7E2" w:val="clear"/>
            <w:vAlign w:val="center"/>
          </w:tcPr>
          <w:p>
            <w:pPr>
              <w:pStyle w:val="TableContents"/>
              <w:bidi w:val="0"/>
              <w:spacing w:before="0" w:after="283"/>
              <w:jc w:val="left"/>
              <w:rPr>
                <w:sz w:val="4"/>
                <w:szCs w:val="4"/>
              </w:rPr>
            </w:pPr>
            <w:r>
              <w:rPr>
                <w:sz w:val="4"/>
                <w:szCs w:val="4"/>
              </w:rPr>
            </w:r>
          </w:p>
        </w:tc>
        <w:tc>
          <w:tcPr>
            <w:tcW w:w="1396"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706"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112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26" w:type="dxa"/>
            <w:tcBorders/>
            <w:shd w:fill="E7E7E2" w:val="clear"/>
            <w:vAlign w:val="center"/>
          </w:tcPr>
          <w:p>
            <w:pPr>
              <w:pStyle w:val="TableContents"/>
              <w:bidi w:val="0"/>
              <w:spacing w:before="0" w:after="283"/>
              <w:jc w:val="left"/>
              <w:rPr>
                <w:sz w:val="4"/>
                <w:szCs w:val="4"/>
              </w:rPr>
            </w:pPr>
            <w:r>
              <w:rPr>
                <w:sz w:val="4"/>
                <w:szCs w:val="4"/>
              </w:rPr>
            </w:r>
          </w:p>
        </w:tc>
        <w:tc>
          <w:tcPr>
            <w:tcW w:w="154" w:type="dxa"/>
            <w:tcBorders/>
            <w:shd w:fill="E7E7E2" w:val="clear"/>
          </w:tcPr>
          <w:p>
            <w:pPr>
              <w:pStyle w:val="TableContents"/>
              <w:bidi w:val="0"/>
              <w:spacing w:before="0" w:after="283"/>
              <w:jc w:val="left"/>
              <w:rPr>
                <w:sz w:val="4"/>
                <w:szCs w:val="4"/>
              </w:rPr>
            </w:pPr>
            <w:r>
              <w:rPr>
                <w:sz w:val="4"/>
                <w:szCs w:val="4"/>
              </w:rPr>
            </w:r>
          </w:p>
        </w:tc>
      </w:tr>
    </w:tbl>
    <w:tbl>
      <w:tblPr>
        <w:tblW w:w="4640" w:type="dxa"/>
        <w:jc w:val="left"/>
        <w:tblInd w:w="0" w:type="dxa"/>
        <w:tblLayout w:type="fixed"/>
        <w:tblCellMar>
          <w:top w:w="28" w:type="dxa"/>
          <w:left w:w="28" w:type="dxa"/>
          <w:bottom w:w="28" w:type="dxa"/>
          <w:right w:w="28" w:type="dxa"/>
        </w:tblCellMar>
      </w:tblPr>
      <w:tblGrid>
        <w:gridCol w:w="4486"/>
        <w:gridCol w:w="154"/>
      </w:tblGrid>
      <w:tr>
        <w:trPr/>
        <w:tc>
          <w:tcPr>
            <w:tcW w:w="4486" w:type="dxa"/>
            <w:tcBorders/>
            <w:vAlign w:val="center"/>
          </w:tcPr>
          <w:p>
            <w:pPr>
              <w:pStyle w:val="TableContents"/>
              <w:bidi w:val="0"/>
              <w:spacing w:before="0" w:after="75"/>
              <w:ind w:left="0" w:right="0" w:hanging="0"/>
              <w:jc w:val="left"/>
              <w:rPr/>
            </w:pPr>
            <w:r>
              <w:rPr>
                <w:b/>
              </w:rPr>
              <w:t>Explanation of the basis for claimed offset:</w:t>
            </w:r>
            <w:r>
              <w:rPr/>
              <w:t xml:space="preserve"> </w:t>
            </w:r>
          </w:p>
        </w:tc>
        <w:tc>
          <w:tcPr>
            <w:tcW w:w="154"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201"/>
        <w:gridCol w:w="1297"/>
        <w:gridCol w:w="8707"/>
      </w:tblGrid>
      <w:tr>
        <w:trPr/>
        <w:tc>
          <w:tcPr>
            <w:tcW w:w="201" w:type="dxa"/>
            <w:tcBorders/>
            <w:vAlign w:val="center"/>
          </w:tcPr>
          <w:p>
            <w:pPr>
              <w:pStyle w:val="TableContents"/>
              <w:bidi w:val="0"/>
              <w:spacing w:lineRule="auto" w:line="288" w:before="0" w:after="0"/>
              <w:ind w:left="0" w:right="0" w:hanging="0"/>
              <w:jc w:val="left"/>
              <w:rPr/>
            </w:pPr>
            <w:r>
              <w:rPr>
                <w:sz w:val="15"/>
              </w:rPr>
              <w:t>1</w:t>
            </w:r>
            <w:r>
              <w:rPr/>
              <w:t xml:space="preserve"> </w:t>
            </w:r>
          </w:p>
        </w:tc>
        <w:tc>
          <w:tcPr>
            <w:tcW w:w="10004" w:type="dxa"/>
            <w:gridSpan w:val="2"/>
            <w:tcBorders/>
            <w:vAlign w:val="center"/>
          </w:tcPr>
          <w:p>
            <w:pPr>
              <w:pStyle w:val="TableContents"/>
              <w:bidi w:val="0"/>
              <w:spacing w:before="0" w:after="283"/>
              <w:jc w:val="left"/>
              <w:rPr/>
            </w:pPr>
            <w:r>
              <w:rPr/>
              <w:t xml:space="preserve">Pursuant to Rule 415(a)(6) under the Securities Act, the registrant hereby carries forward unsold securities previously registered with a proposed maximum aggregate offering price of $75,000,000 (the "Offset Securities") under the registrant's prior registration statement on Form F-3 (Filer No. 333-292793) which was filed on January 16,2026 (the "Prior Registration Statement"). The Prior Registration Statement registered securities for a maximum aggregate offering price of $75,000,000, but did not sell any of the securities registered therein. In connection with the filing of the Prior Registration Statement, the registrant paid a filing fee of $8,265, calculated in accordance with Rule 457(o) under the Securities Act. The filing fees associated with the Offset Securities shall hereby offset the filing fees due with this current filing. . Pursuant to Rule 415(a)(6), the offering of the Offset Securities under the Prior Registration Statement will be deemed terminated as of the date of effectiveness of this registration statement. </w:t>
            </w:r>
          </w:p>
        </w:tc>
      </w:tr>
      <w:tr>
        <w:trPr/>
        <w:tc>
          <w:tcPr>
            <w:tcW w:w="1498" w:type="dxa"/>
            <w:gridSpan w:val="2"/>
            <w:tcBorders/>
            <w:vAlign w:val="center"/>
          </w:tcPr>
          <w:p>
            <w:pPr>
              <w:pStyle w:val="HorizontalLine"/>
              <w:pBdr>
                <w:bottom w:val="double" w:sz="2" w:space="0" w:color="808080"/>
              </w:pBdr>
              <w:bidi w:val="0"/>
              <w:spacing w:before="0" w:after="283"/>
              <w:jc w:val="left"/>
              <w:rPr/>
            </w:pPr>
            <w:r>
              <w:rPr/>
            </w:r>
          </w:p>
        </w:tc>
        <w:tc>
          <w:tcPr>
            <w:tcW w:w="8707" w:type="dxa"/>
            <w:tcBorders/>
          </w:tcPr>
          <w:p>
            <w:pPr>
              <w:pStyle w:val="TableContents"/>
              <w:bidi w:val="0"/>
              <w:spacing w:before="0" w:after="283"/>
              <w:jc w:val="left"/>
              <w:rPr>
                <w:sz w:val="4"/>
                <w:szCs w:val="4"/>
              </w:rPr>
            </w:pPr>
            <w:r>
              <w:rPr>
                <w:sz w:val="4"/>
                <w:szCs w:val="4"/>
              </w:rPr>
            </w:r>
          </w:p>
        </w:tc>
      </w:tr>
    </w:tbl>
    <w:tbl>
      <w:tblPr>
        <w:tblW w:w="5462" w:type="dxa"/>
        <w:jc w:val="left"/>
        <w:tblInd w:w="0" w:type="dxa"/>
        <w:tblLayout w:type="fixed"/>
        <w:tblCellMar>
          <w:top w:w="28" w:type="dxa"/>
          <w:left w:w="28" w:type="dxa"/>
          <w:bottom w:w="28" w:type="dxa"/>
          <w:right w:w="28" w:type="dxa"/>
        </w:tblCellMar>
      </w:tblPr>
      <w:tblGrid>
        <w:gridCol w:w="3511"/>
        <w:gridCol w:w="1951"/>
      </w:tblGrid>
      <w:tr>
        <w:trPr/>
        <w:tc>
          <w:tcPr>
            <w:tcW w:w="3511" w:type="dxa"/>
            <w:tcBorders/>
            <w:vAlign w:val="center"/>
          </w:tcPr>
          <w:p>
            <w:pPr>
              <w:pStyle w:val="TableHeading"/>
              <w:bidi w:val="0"/>
              <w:spacing w:before="0" w:after="283"/>
              <w:jc w:val="left"/>
              <w:rPr/>
            </w:pPr>
            <w:r>
              <w:rPr>
                <w:b/>
              </w:rPr>
              <w:t>Table 3: Combined Prospectuses</w:t>
            </w:r>
            <w:r>
              <w:rPr/>
              <w:t xml:space="preserve"> </w:t>
            </w:r>
          </w:p>
        </w:tc>
        <w:tc>
          <w:tcPr>
            <w:tcW w:w="1951" w:type="dxa"/>
            <w:tcBorders/>
            <w:vAlign w:val="center"/>
          </w:tcPr>
          <w:p>
            <w:pPr>
              <w:pStyle w:val="TableHeading"/>
              <w:bidi w:val="0"/>
              <w:spacing w:before="0" w:after="283"/>
              <w:jc w:val="right"/>
              <w:rPr/>
            </w:pPr>
            <w:r>
              <w:rPr/>
              <w:t>☑</w:t>
            </w:r>
            <w:r>
              <w:rPr/>
              <w:t xml:space="preserve">Not Applicable </w:t>
            </w:r>
          </w:p>
        </w:tc>
      </w:tr>
    </w:tbl>
    <w:tbl>
      <w:tblPr>
        <w:tblW w:w="10205" w:type="dxa"/>
        <w:jc w:val="left"/>
        <w:tblInd w:w="0" w:type="dxa"/>
        <w:tblLayout w:type="fixed"/>
        <w:tblCellMar>
          <w:top w:w="28" w:type="dxa"/>
          <w:left w:w="28" w:type="dxa"/>
          <w:bottom w:w="28" w:type="dxa"/>
          <w:right w:w="28" w:type="dxa"/>
        </w:tblCellMar>
      </w:tblPr>
      <w:tblGrid>
        <w:gridCol w:w="124"/>
        <w:gridCol w:w="1092"/>
        <w:gridCol w:w="1215"/>
        <w:gridCol w:w="1954"/>
        <w:gridCol w:w="2597"/>
        <w:gridCol w:w="822"/>
        <w:gridCol w:w="1073"/>
        <w:gridCol w:w="1328"/>
      </w:tblGrid>
      <w:tr>
        <w:trPr/>
        <w:tc>
          <w:tcPr>
            <w:tcW w:w="124" w:type="dxa"/>
            <w:tcBorders/>
            <w:shd w:fill="9ADAF6" w:val="clear"/>
            <w:vAlign w:val="center"/>
          </w:tcPr>
          <w:p>
            <w:pPr>
              <w:pStyle w:val="TableHeading"/>
              <w:bidi w:val="0"/>
              <w:spacing w:before="0" w:after="283"/>
              <w:rPr>
                <w:sz w:val="4"/>
                <w:szCs w:val="4"/>
              </w:rPr>
            </w:pPr>
            <w:r>
              <w:rPr>
                <w:sz w:val="4"/>
                <w:szCs w:val="4"/>
              </w:rPr>
            </w:r>
          </w:p>
        </w:tc>
        <w:tc>
          <w:tcPr>
            <w:tcW w:w="1092" w:type="dxa"/>
            <w:tcBorders/>
            <w:shd w:fill="9ADAF6" w:val="clear"/>
            <w:vAlign w:val="center"/>
          </w:tcPr>
          <w:p>
            <w:pPr>
              <w:pStyle w:val="TableHeading"/>
              <w:bidi w:val="0"/>
              <w:spacing w:before="0" w:after="0"/>
              <w:ind w:left="0" w:right="0" w:hanging="0"/>
              <w:jc w:val="center"/>
              <w:rPr/>
            </w:pPr>
            <w:r>
              <w:rPr>
                <w:b/>
              </w:rPr>
              <w:t>Security Type</w:t>
            </w:r>
            <w:r>
              <w:rPr/>
              <w:t xml:space="preserve"> </w:t>
            </w:r>
          </w:p>
        </w:tc>
        <w:tc>
          <w:tcPr>
            <w:tcW w:w="1215" w:type="dxa"/>
            <w:tcBorders/>
            <w:shd w:fill="9ADAF6" w:val="clear"/>
            <w:vAlign w:val="center"/>
          </w:tcPr>
          <w:p>
            <w:pPr>
              <w:pStyle w:val="TableHeading"/>
              <w:bidi w:val="0"/>
              <w:spacing w:before="0" w:after="0"/>
              <w:ind w:left="0" w:right="0" w:hanging="0"/>
              <w:jc w:val="center"/>
              <w:rPr/>
            </w:pPr>
            <w:r>
              <w:rPr>
                <w:b/>
              </w:rPr>
              <w:t>Security Class Title</w:t>
            </w:r>
            <w:r>
              <w:rPr/>
              <w:t xml:space="preserve"> </w:t>
            </w:r>
          </w:p>
        </w:tc>
        <w:tc>
          <w:tcPr>
            <w:tcW w:w="1954" w:type="dxa"/>
            <w:tcBorders/>
            <w:shd w:fill="9ADAF6" w:val="clear"/>
            <w:vAlign w:val="center"/>
          </w:tcPr>
          <w:p>
            <w:pPr>
              <w:pStyle w:val="TableHeading"/>
              <w:bidi w:val="0"/>
              <w:spacing w:before="0" w:after="0"/>
              <w:ind w:left="0" w:right="0" w:hanging="0"/>
              <w:jc w:val="center"/>
              <w:rPr/>
            </w:pPr>
            <w:r>
              <w:rPr>
                <w:b/>
              </w:rPr>
              <w:t>Amount of Securities Previously Registered</w:t>
            </w:r>
            <w:r>
              <w:rPr/>
              <w:t xml:space="preserve"> </w:t>
            </w:r>
          </w:p>
        </w:tc>
        <w:tc>
          <w:tcPr>
            <w:tcW w:w="2597" w:type="dxa"/>
            <w:tcBorders/>
            <w:shd w:fill="9ADAF6" w:val="clear"/>
            <w:vAlign w:val="center"/>
          </w:tcPr>
          <w:p>
            <w:pPr>
              <w:pStyle w:val="TableHeading"/>
              <w:bidi w:val="0"/>
              <w:spacing w:before="0" w:after="0"/>
              <w:ind w:left="0" w:right="0" w:hanging="0"/>
              <w:jc w:val="center"/>
              <w:rPr/>
            </w:pPr>
            <w:r>
              <w:rPr>
                <w:b/>
              </w:rPr>
              <w:t>Maximum Aggregate Offering Price of Securities Previously Registered</w:t>
            </w:r>
            <w:r>
              <w:rPr/>
              <w:t xml:space="preserve"> </w:t>
            </w:r>
          </w:p>
        </w:tc>
        <w:tc>
          <w:tcPr>
            <w:tcW w:w="822" w:type="dxa"/>
            <w:tcBorders/>
            <w:shd w:fill="9ADAF6" w:val="clear"/>
            <w:vAlign w:val="center"/>
          </w:tcPr>
          <w:p>
            <w:pPr>
              <w:pStyle w:val="TableHeading"/>
              <w:bidi w:val="0"/>
              <w:spacing w:before="0" w:after="0"/>
              <w:ind w:left="0" w:right="0" w:hanging="0"/>
              <w:jc w:val="center"/>
              <w:rPr/>
            </w:pPr>
            <w:r>
              <w:rPr>
                <w:b/>
              </w:rPr>
              <w:t>Form Type</w:t>
            </w:r>
            <w:r>
              <w:rPr/>
              <w:t xml:space="preserve"> </w:t>
            </w:r>
          </w:p>
        </w:tc>
        <w:tc>
          <w:tcPr>
            <w:tcW w:w="1073" w:type="dxa"/>
            <w:tcBorders/>
            <w:shd w:fill="9ADAF6" w:val="clear"/>
            <w:vAlign w:val="center"/>
          </w:tcPr>
          <w:p>
            <w:pPr>
              <w:pStyle w:val="TableHeading"/>
              <w:bidi w:val="0"/>
              <w:spacing w:before="0" w:after="0"/>
              <w:ind w:left="0" w:right="0" w:hanging="0"/>
              <w:jc w:val="center"/>
              <w:rPr/>
            </w:pPr>
            <w:r>
              <w:rPr>
                <w:b/>
              </w:rPr>
              <w:t>File Number</w:t>
            </w:r>
            <w:r>
              <w:rPr/>
              <w:t xml:space="preserve"> </w:t>
            </w:r>
          </w:p>
        </w:tc>
        <w:tc>
          <w:tcPr>
            <w:tcW w:w="1328" w:type="dxa"/>
            <w:tcBorders/>
            <w:shd w:fill="9ADAF6" w:val="clear"/>
            <w:vAlign w:val="center"/>
          </w:tcPr>
          <w:p>
            <w:pPr>
              <w:pStyle w:val="TableHeading"/>
              <w:bidi w:val="0"/>
              <w:spacing w:before="0" w:after="0"/>
              <w:ind w:left="0" w:right="0" w:hanging="0"/>
              <w:jc w:val="center"/>
              <w:rPr/>
            </w:pPr>
            <w:r>
              <w:rPr>
                <w:b/>
              </w:rPr>
              <w:t>Initial Effective Date</w:t>
            </w:r>
            <w:r>
              <w:rPr/>
              <w:t xml:space="preserve"> </w:t>
            </w:r>
          </w:p>
        </w:tc>
      </w:tr>
      <w:tr>
        <w:trPr/>
        <w:tc>
          <w:tcPr>
            <w:tcW w:w="124" w:type="dxa"/>
            <w:tcBorders/>
            <w:shd w:fill="E7E7E2" w:val="clear"/>
            <w:vAlign w:val="center"/>
          </w:tcPr>
          <w:p>
            <w:pPr>
              <w:pStyle w:val="TableContents"/>
              <w:bidi w:val="0"/>
              <w:spacing w:before="0" w:after="283"/>
              <w:jc w:val="left"/>
              <w:rPr>
                <w:sz w:val="4"/>
                <w:szCs w:val="4"/>
              </w:rPr>
            </w:pPr>
            <w:r>
              <w:rPr>
                <w:sz w:val="4"/>
                <w:szCs w:val="4"/>
              </w:rPr>
            </w:r>
          </w:p>
        </w:tc>
        <w:tc>
          <w:tcPr>
            <w:tcW w:w="1092" w:type="dxa"/>
            <w:tcBorders/>
            <w:shd w:fill="E7E7E2" w:val="clear"/>
            <w:vAlign w:val="center"/>
          </w:tcPr>
          <w:p>
            <w:pPr>
              <w:pStyle w:val="TableContents"/>
              <w:bidi w:val="0"/>
              <w:spacing w:before="0" w:after="283"/>
              <w:jc w:val="left"/>
              <w:rPr>
                <w:sz w:val="4"/>
                <w:szCs w:val="4"/>
              </w:rPr>
            </w:pPr>
            <w:r>
              <w:rPr>
                <w:sz w:val="4"/>
                <w:szCs w:val="4"/>
              </w:rPr>
            </w:r>
          </w:p>
        </w:tc>
        <w:tc>
          <w:tcPr>
            <w:tcW w:w="1215" w:type="dxa"/>
            <w:tcBorders/>
            <w:shd w:fill="E7E7E2" w:val="clear"/>
            <w:vAlign w:val="center"/>
          </w:tcPr>
          <w:p>
            <w:pPr>
              <w:pStyle w:val="TableContents"/>
              <w:bidi w:val="0"/>
              <w:spacing w:before="0" w:after="283"/>
              <w:jc w:val="left"/>
              <w:rPr>
                <w:sz w:val="4"/>
                <w:szCs w:val="4"/>
              </w:rPr>
            </w:pPr>
            <w:r>
              <w:rPr>
                <w:sz w:val="4"/>
                <w:szCs w:val="4"/>
              </w:rPr>
            </w:r>
          </w:p>
        </w:tc>
        <w:tc>
          <w:tcPr>
            <w:tcW w:w="1954" w:type="dxa"/>
            <w:tcBorders/>
            <w:shd w:fill="E7E7E2" w:val="clear"/>
            <w:vAlign w:val="center"/>
          </w:tcPr>
          <w:p>
            <w:pPr>
              <w:pStyle w:val="TableContents"/>
              <w:bidi w:val="0"/>
              <w:spacing w:before="0" w:after="283"/>
              <w:jc w:val="left"/>
              <w:rPr>
                <w:sz w:val="4"/>
                <w:szCs w:val="4"/>
              </w:rPr>
            </w:pPr>
            <w:r>
              <w:rPr>
                <w:sz w:val="4"/>
                <w:szCs w:val="4"/>
              </w:rPr>
            </w:r>
          </w:p>
        </w:tc>
        <w:tc>
          <w:tcPr>
            <w:tcW w:w="2597" w:type="dxa"/>
            <w:tcBorders/>
            <w:shd w:fill="E7E7E2" w:val="clear"/>
            <w:vAlign w:val="center"/>
          </w:tcPr>
          <w:p>
            <w:pPr>
              <w:pStyle w:val="TableContents"/>
              <w:bidi w:val="0"/>
              <w:spacing w:before="0" w:after="283"/>
              <w:jc w:val="left"/>
              <w:rPr>
                <w:sz w:val="4"/>
                <w:szCs w:val="4"/>
              </w:rPr>
            </w:pPr>
            <w:r>
              <w:rPr>
                <w:sz w:val="4"/>
                <w:szCs w:val="4"/>
              </w:rPr>
            </w:r>
          </w:p>
        </w:tc>
        <w:tc>
          <w:tcPr>
            <w:tcW w:w="822" w:type="dxa"/>
            <w:tcBorders/>
            <w:shd w:fill="E7E7E2" w:val="clear"/>
            <w:vAlign w:val="center"/>
          </w:tcPr>
          <w:p>
            <w:pPr>
              <w:pStyle w:val="TableContents"/>
              <w:bidi w:val="0"/>
              <w:spacing w:before="0" w:after="283"/>
              <w:jc w:val="left"/>
              <w:rPr>
                <w:sz w:val="4"/>
                <w:szCs w:val="4"/>
              </w:rPr>
            </w:pPr>
            <w:r>
              <w:rPr>
                <w:sz w:val="4"/>
                <w:szCs w:val="4"/>
              </w:rPr>
            </w:r>
          </w:p>
        </w:tc>
        <w:tc>
          <w:tcPr>
            <w:tcW w:w="1073" w:type="dxa"/>
            <w:tcBorders/>
            <w:shd w:fill="E7E7E2" w:val="clear"/>
            <w:vAlign w:val="center"/>
          </w:tcPr>
          <w:p>
            <w:pPr>
              <w:pStyle w:val="TableContents"/>
              <w:bidi w:val="0"/>
              <w:spacing w:before="0" w:after="283"/>
              <w:jc w:val="left"/>
              <w:rPr>
                <w:sz w:val="4"/>
                <w:szCs w:val="4"/>
              </w:rPr>
            </w:pPr>
            <w:r>
              <w:rPr>
                <w:sz w:val="4"/>
                <w:szCs w:val="4"/>
              </w:rPr>
            </w:r>
          </w:p>
        </w:tc>
        <w:tc>
          <w:tcPr>
            <w:tcW w:w="1328" w:type="dxa"/>
            <w:tcBorders/>
            <w:shd w:fill="E7E7E2" w:val="cle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r>
        <w:br w:type="page"/>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www.sec.gov/ix?doc=/Archives/edgar/data/1734005/000121390026035484/ea0281612-20f_aptorum.htm" TargetMode="External"/><Relationship Id="rId3" Type="http://schemas.openxmlformats.org/officeDocument/2006/relationships/hyperlink" Target="http://www.sec.gov/ix?doc=/Archives/edgar/data/1734005/000121390025037669/ea0238205-20f_aptorum.htm" TargetMode="External"/><Relationship Id="rId4" Type="http://schemas.openxmlformats.org/officeDocument/2006/relationships/hyperlink" Target="http://www.sec.gov/ix?doc=/Archives/edgar/data/1734005/000121390026079416/ea0298262-8k_nikibio.htm" TargetMode="External"/><Relationship Id="rId5" Type="http://schemas.openxmlformats.org/officeDocument/2006/relationships/hyperlink" Target="http://www.sec.gov/ix?doc=/Archives/edgar/data/1734005/000121390026092661/ea0302544-8k_nikibio.htm" TargetMode="External"/><Relationship Id="rId6" Type="http://schemas.openxmlformats.org/officeDocument/2006/relationships/hyperlink" Target="http://www.sec.gov/ix?doc=/Archives/edgar/data/1734005/000121390026092689/ea0301803-8ka1_nikibio.htm" TargetMode="External"/><Relationship Id="rId7" Type="http://schemas.openxmlformats.org/officeDocument/2006/relationships/hyperlink" Target="http://www.sec.gov/ix?doc=/Archives/edgar/data/1734005/000121390026006378/ea0272426-6k_aptorum.htm" TargetMode="External"/><Relationship Id="rId8" Type="http://schemas.openxmlformats.org/officeDocument/2006/relationships/hyperlink" Target="http://www.sec.gov/Archives/edgar/data/1734005/000121390026013260/ea0275595-6k_aptorum.htm" TargetMode="External"/><Relationship Id="rId9" Type="http://schemas.openxmlformats.org/officeDocument/2006/relationships/hyperlink" Target="http://www.sec.gov/Archives/edgar/data/1734005/000121390026024709/ea0280364-6k_aptorum.htm" TargetMode="External"/><Relationship Id="rId10" Type="http://schemas.openxmlformats.org/officeDocument/2006/relationships/hyperlink" Target="http://www.sec.gov/Archives/edgar/data/1734005/000121390026026143/ea0280907-6k_aptorum.htm" TargetMode="External"/><Relationship Id="rId11" Type="http://schemas.openxmlformats.org/officeDocument/2006/relationships/hyperlink" Target="http://www.sec.gov/Archives/edgar/data/1734005/000121390026034753/ea028217201-6ka_aptorum.htm" TargetMode="External"/><Relationship Id="rId12" Type="http://schemas.openxmlformats.org/officeDocument/2006/relationships/hyperlink" Target="http://www.sec.gov/ix?doc=/Archives/edgar/data/1734005/000121390026037563/ea0284133-6k_aptorum.htm" TargetMode="External"/><Relationship Id="rId13" Type="http://schemas.openxmlformats.org/officeDocument/2006/relationships/hyperlink" Target="http://www.sec.gov/ix?doc=/Archives/edgar/data/1734005/000121390026056820/ea0290494-01.htm" TargetMode="External"/><Relationship Id="rId14" Type="http://schemas.openxmlformats.org/officeDocument/2006/relationships/hyperlink" Target="http://www.sec.gov/Archives/edgar/data/1734005/000121390026067085/ea0294058-6k_aptorum.htm" TargetMode="External"/><Relationship Id="rId15" Type="http://schemas.openxmlformats.org/officeDocument/2006/relationships/hyperlink" Target="http://www.sec.gov/Archives/edgar/data/1734005/000121390026070672/ea0294967-6ka1_aptorum.htm" TargetMode="External"/><Relationship Id="rId16" Type="http://schemas.openxmlformats.org/officeDocument/2006/relationships/image" Target="media/image1.jpeg"/><Relationship Id="rId17" Type="http://schemas.openxmlformats.org/officeDocument/2006/relationships/image" Target="media/image1.jpeg"/><Relationship Id="rId18" Type="http://schemas.openxmlformats.org/officeDocument/2006/relationships/image" Target="media/image1.jpeg"/><Relationship Id="rId19" Type="http://schemas.openxmlformats.org/officeDocument/2006/relationships/image" Target="media/image1.jpeg"/><Relationship Id="rId20" Type="http://schemas.openxmlformats.org/officeDocument/2006/relationships/image" Target="media/image1.jpeg"/><Relationship Id="rId21" Type="http://schemas.openxmlformats.org/officeDocument/2006/relationships/image" Target="media/image2.jpeg"/><Relationship Id="rId22" Type="http://schemas.openxmlformats.org/officeDocument/2006/relationships/fontTable" Target="fontTable.xml"/><Relationship Id="rId2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21</Pages>
  <Words>71716</Words>
  <Characters>367210</Characters>
  <CharactersWithSpaces>438943</CharactersWithSpaces>
  <Paragraphs>5066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