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1803-8ka1_nikibio.htm"/>
      <w:bookmarkStart w:id="1" w:name="ksea03018038ka1_nikibio"/>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F_edei--DocumentType_c20260720__20"/>
      <w:bookmarkEnd w:id="2"/>
      <w:r>
        <w:rPr>
          <w:rFonts w:ascii="Times New Roman;Times;Serif" w:hAnsi="Times New Roman;Times;Serif"/>
          <w:b/>
          <w:i w:val="false"/>
          <w:caps w:val="false"/>
          <w:smallCaps w:val="false"/>
          <w:sz w:val="20"/>
        </w:rPr>
        <w:t>8-K/A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August 21, 2026 (</w:t>
      </w:r>
      <w:bookmarkStart w:id="3" w:name="xdx_902_edei--DocumentPeriodEndDate_c202"/>
      <w:bookmarkEnd w:id="3"/>
      <w:r>
        <w:rPr>
          <w:rFonts w:ascii="Times New Roman;Times;Serif" w:hAnsi="Times New Roman;Times;Serif"/>
          <w:b/>
          <w:i w:val="false"/>
          <w:caps w:val="false"/>
          <w:smallCaps w:val="false"/>
          <w:sz w:val="20"/>
        </w:rPr>
        <w:t>July 20,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3_edei--EntityRegistrantName_c2026"/>
      <w:bookmarkEnd w:id="4"/>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080" w:type="dxa"/>
        <w:jc w:val="left"/>
        <w:tblInd w:w="0" w:type="dxa"/>
        <w:tblLayout w:type="fixed"/>
        <w:tblCellMar>
          <w:top w:w="0" w:type="dxa"/>
          <w:left w:w="0" w:type="dxa"/>
          <w:bottom w:w="28" w:type="dxa"/>
          <w:right w:w="0" w:type="dxa"/>
        </w:tblCellMar>
      </w:tblPr>
      <w:tblGrid>
        <w:gridCol w:w="2570"/>
        <w:gridCol w:w="60"/>
        <w:gridCol w:w="2615"/>
        <w:gridCol w:w="60"/>
        <w:gridCol w:w="1775"/>
      </w:tblGrid>
      <w:tr>
        <w:trPr/>
        <w:tc>
          <w:tcPr>
            <w:tcW w:w="2570" w:type="dxa"/>
            <w:tcBorders>
              <w:bottom w:val="single" w:sz="12" w:space="0" w:color="000000"/>
            </w:tcBorders>
            <w:vAlign w:val="center"/>
          </w:tcPr>
          <w:p>
            <w:pPr>
              <w:pStyle w:val="TableContents"/>
              <w:bidi w:val="0"/>
              <w:spacing w:before="0" w:after="283"/>
              <w:jc w:val="center"/>
              <w:rPr>
                <w:b/>
              </w:rPr>
            </w:pPr>
            <w:bookmarkStart w:id="5" w:name="xdx_905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615" w:type="dxa"/>
            <w:tcBorders>
              <w:bottom w:val="single" w:sz="12" w:space="0" w:color="000000"/>
            </w:tcBorders>
            <w:vAlign w:val="center"/>
          </w:tcPr>
          <w:p>
            <w:pPr>
              <w:pStyle w:val="TableContents"/>
              <w:bidi w:val="0"/>
              <w:spacing w:before="0" w:after="283"/>
              <w:jc w:val="center"/>
              <w:rPr>
                <w:b/>
              </w:rPr>
            </w:pPr>
            <w:bookmarkStart w:id="6" w:name="xdx_901_edei--EntityFileNumber_c20260720"/>
            <w:bookmarkEnd w:id="6"/>
            <w:r>
              <w:rPr>
                <w:b/>
              </w:rPr>
              <w:t>001-38764 </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12" w:space="0" w:color="000000"/>
            </w:tcBorders>
            <w:vAlign w:val="center"/>
          </w:tcPr>
          <w:p>
            <w:pPr>
              <w:pStyle w:val="TableContents"/>
              <w:bidi w:val="0"/>
              <w:spacing w:before="0" w:after="283"/>
              <w:jc w:val="center"/>
              <w:rPr>
                <w:b/>
              </w:rPr>
            </w:pPr>
            <w:bookmarkStart w:id="7" w:name="xdx_900_edei--EntityTaxIdentificationNum"/>
            <w:bookmarkEnd w:id="7"/>
            <w:r>
              <w:rPr>
                <w:b/>
              </w:rPr>
              <w:t>42-3265309</w:t>
            </w:r>
          </w:p>
        </w:tc>
      </w:tr>
      <w:tr>
        <w:trPr/>
        <w:tc>
          <w:tcPr>
            <w:tcW w:w="257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870" w:type="dxa"/>
        <w:jc w:val="left"/>
        <w:tblInd w:w="0" w:type="dxa"/>
        <w:tblLayout w:type="fixed"/>
        <w:tblCellMar>
          <w:top w:w="0" w:type="dxa"/>
          <w:left w:w="0" w:type="dxa"/>
          <w:bottom w:w="0" w:type="dxa"/>
          <w:right w:w="0" w:type="dxa"/>
        </w:tblCellMar>
      </w:tblPr>
      <w:tblGrid>
        <w:gridCol w:w="75"/>
        <w:gridCol w:w="5720"/>
        <w:gridCol w:w="75"/>
      </w:tblGrid>
      <w:tr>
        <w:trPr/>
        <w:tc>
          <w:tcPr>
            <w:tcW w:w="75" w:type="dxa"/>
            <w:tcBorders/>
            <w:vAlign w:val="center"/>
          </w:tcPr>
          <w:p>
            <w:pPr>
              <w:pStyle w:val="TableContents"/>
              <w:bidi w:val="0"/>
              <w:spacing w:before="0" w:after="283"/>
              <w:jc w:val="center"/>
              <w:rPr/>
            </w:pPr>
            <w:r>
              <w:rPr/>
              <w:t> </w:t>
            </w:r>
          </w:p>
        </w:tc>
        <w:tc>
          <w:tcPr>
            <w:tcW w:w="5720" w:type="dxa"/>
            <w:tcBorders>
              <w:bottom w:val="single" w:sz="12" w:space="0" w:color="000000"/>
            </w:tcBorders>
            <w:tcMar>
              <w:bottom w:w="28" w:type="dxa"/>
            </w:tcMar>
            <w:vAlign w:val="center"/>
          </w:tcPr>
          <w:p>
            <w:pPr>
              <w:pStyle w:val="TableContents"/>
              <w:bidi w:val="0"/>
              <w:spacing w:before="0" w:after="283"/>
              <w:jc w:val="center"/>
              <w:rPr>
                <w:b/>
              </w:rPr>
            </w:pPr>
            <w:bookmarkStart w:id="8" w:name="xdx_903_edei--EntityAddressAddressLine1_"/>
            <w:bookmarkEnd w:id="8"/>
            <w:r>
              <w:rPr>
                <w:b/>
              </w:rPr>
              <w:t xml:space="preserve">116 Village Boulevard, </w:t>
            </w:r>
            <w:bookmarkStart w:id="9" w:name="xdx_907_edei--EntityAddressAddressLine2_"/>
            <w:bookmarkEnd w:id="9"/>
            <w:r>
              <w:rPr>
                <w:b/>
              </w:rPr>
              <w:t xml:space="preserve">Suite 200, </w:t>
            </w:r>
            <w:bookmarkStart w:id="10" w:name="xdx_902_edei--EntityAddressCityOrTown_c2"/>
            <w:bookmarkEnd w:id="10"/>
            <w:r>
              <w:rPr>
                <w:b/>
              </w:rPr>
              <w:t xml:space="preserve">Princeton, </w:t>
            </w:r>
            <w:bookmarkStart w:id="11" w:name="xdx_906_edei--EntityAddressStateOrProvin"/>
            <w:bookmarkEnd w:id="11"/>
            <w:r>
              <w:rPr>
                <w:b/>
              </w:rPr>
              <w:t xml:space="preserve">NJ </w:t>
            </w:r>
            <w:bookmarkStart w:id="12" w:name="xdx_90C_edei--EntityAddressPostalZipCode"/>
            <w:bookmarkEnd w:id="12"/>
            <w:r>
              <w:rPr>
                <w:b/>
              </w:rPr>
              <w:t>08540</w:t>
            </w:r>
          </w:p>
        </w:tc>
        <w:tc>
          <w:tcPr>
            <w:tcW w:w="7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center"/>
              <w:rPr/>
            </w:pPr>
            <w:r>
              <w:rPr/>
              <w:t> </w:t>
            </w:r>
          </w:p>
        </w:tc>
        <w:tc>
          <w:tcPr>
            <w:tcW w:w="5720" w:type="dxa"/>
            <w:tcBorders/>
            <w:vAlign w:val="center"/>
          </w:tcPr>
          <w:p>
            <w:pPr>
              <w:pStyle w:val="TableContents"/>
              <w:bidi w:val="0"/>
              <w:spacing w:before="0" w:after="283"/>
              <w:jc w:val="center"/>
              <w:rPr/>
            </w:pPr>
            <w:r>
              <w:rPr/>
              <w:t>(Address of Principal Executive Offices, including zip code)</w:t>
            </w:r>
          </w:p>
        </w:tc>
        <w:tc>
          <w:tcPr>
            <w:tcW w:w="7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6_edei--CityAreaCode_c20260720__20"/>
      <w:bookmarkEnd w:id="13"/>
      <w:r>
        <w:rPr>
          <w:rFonts w:ascii="Times New Roman;Times;Serif" w:hAnsi="Times New Roman;Times;Serif"/>
          <w:b w:val="false"/>
          <w:i w:val="false"/>
          <w:caps w:val="false"/>
          <w:smallCaps w:val="false"/>
          <w:sz w:val="20"/>
        </w:rPr>
        <w:t>609-</w:t>
      </w:r>
      <w:bookmarkStart w:id="14" w:name="xdx_902_edei--LocalPhoneNumber_c20260720"/>
      <w:bookmarkEnd w:id="14"/>
      <w:r>
        <w:rPr>
          <w:rFonts w:ascii="Times New Roman;Times;Serif" w:hAnsi="Times New Roman;Times;Serif"/>
          <w:b w:val="false"/>
          <w:i w:val="false"/>
          <w:caps w:val="false"/>
          <w:smallCaps w:val="false"/>
          <w:sz w:val="20"/>
        </w:rPr>
        <w:t>951-2222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5" w:name="xdx_904_edei--EntityRegistrantName_c2026"/>
      <w:bookmarkEnd w:id="15"/>
      <w:r>
        <w:rPr>
          <w:rFonts w:ascii="Times New Roman;Times;Serif" w:hAnsi="Times New Roman;Times;Serif"/>
          <w:b w:val="false"/>
          <w:i w:val="false"/>
          <w:caps w:val="false"/>
          <w:smallCaps w:val="false"/>
          <w:sz w:val="20"/>
        </w:rPr>
        <w:t>Aptorum Group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6" w:name="xdx_90E_edei--EntityAddressAddressLine1_"/>
      <w:bookmarkEnd w:id="16"/>
      <w:r>
        <w:rPr>
          <w:rFonts w:ascii="Times New Roman;Times;Serif" w:hAnsi="Times New Roman;Times;Serif"/>
          <w:b w:val="false"/>
          <w:i w:val="false"/>
          <w:caps w:val="false"/>
          <w:smallCaps w:val="false"/>
          <w:sz w:val="20"/>
        </w:rPr>
        <w:t>17 Hanover Square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7" w:name="xdx_909_edei--EntityAddressCityOrTown_c2"/>
      <w:bookmarkEnd w:id="17"/>
      <w:r>
        <w:rPr>
          <w:rFonts w:ascii="Times New Roman;Times;Serif" w:hAnsi="Times New Roman;Times;Serif"/>
          <w:b w:val="false"/>
          <w:i w:val="false"/>
          <w:caps w:val="false"/>
          <w:smallCaps w:val="false"/>
          <w:sz w:val="20"/>
        </w:rPr>
        <w:t xml:space="preserve">London </w:t>
      </w:r>
      <w:bookmarkStart w:id="18" w:name="xdx_905_edei--EntityAddressPostalZipCode"/>
      <w:bookmarkEnd w:id="18"/>
      <w:r>
        <w:rPr>
          <w:rFonts w:ascii="Times New Roman;Times;Serif" w:hAnsi="Times New Roman;Times;Serif"/>
          <w:b w:val="false"/>
          <w:i w:val="false"/>
          <w:caps w:val="false"/>
          <w:smallCaps w:val="false"/>
          <w:sz w:val="20"/>
        </w:rPr>
        <w:t xml:space="preserve">W1S 1BN, </w:t>
      </w:r>
      <w:bookmarkStart w:id="19" w:name="xdx_90C_edei--EntityAddressCountry_c2026"/>
      <w:bookmarkEnd w:id="19"/>
      <w:r>
        <w:rPr>
          <w:rFonts w:ascii="Times New Roman;Times;Serif" w:hAnsi="Times New Roman;Times;Serif"/>
          <w:b w:val="false"/>
          <w:i w:val="false"/>
          <w:caps w:val="false"/>
          <w:smallCaps w:val="false"/>
          <w:sz w:val="20"/>
        </w:rPr>
        <w:t>United Kingdom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20" w:name="xdx_90C_edei--WrittenCommunications_c202"/>
            <w:bookmarkEnd w:id="20"/>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21" w:name="xdx_901_edei--SolicitingMaterial_c202607"/>
            <w:bookmarkEnd w:id="21"/>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2" w:name="xdx_909_edei--PreCommencementTenderOffer"/>
            <w:bookmarkEnd w:id="22"/>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3" w:name="xdx_908_edei--PreCommencementIssuerTende"/>
            <w:bookmarkEnd w:id="23"/>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93"/>
        <w:gridCol w:w="60"/>
        <w:gridCol w:w="1851"/>
        <w:gridCol w:w="60"/>
        <w:gridCol w:w="4241"/>
      </w:tblGrid>
      <w:tr>
        <w:trPr/>
        <w:tc>
          <w:tcPr>
            <w:tcW w:w="3993"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51"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241"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3993" w:type="dxa"/>
            <w:tcBorders/>
            <w:shd w:fill="CCEEFF" w:val="clear"/>
            <w:tcMar>
              <w:bottom w:w="0" w:type="dxa"/>
            </w:tcMar>
            <w:vAlign w:val="center"/>
          </w:tcPr>
          <w:p>
            <w:pPr>
              <w:pStyle w:val="TableContents"/>
              <w:bidi w:val="0"/>
              <w:spacing w:before="0" w:after="283"/>
              <w:jc w:val="center"/>
              <w:rPr/>
            </w:pPr>
            <w:bookmarkStart w:id="24" w:name="xdx_90D_edei--Security12bTitle_c20260720"/>
            <w:bookmarkEnd w:id="24"/>
            <w:r>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51" w:type="dxa"/>
            <w:tcBorders/>
            <w:shd w:fill="CCEEFF" w:val="clear"/>
            <w:tcMar>
              <w:bottom w:w="0" w:type="dxa"/>
            </w:tcMar>
            <w:vAlign w:val="center"/>
          </w:tcPr>
          <w:p>
            <w:pPr>
              <w:pStyle w:val="TableContents"/>
              <w:bidi w:val="0"/>
              <w:spacing w:before="0" w:after="283"/>
              <w:jc w:val="center"/>
              <w:rPr/>
            </w:pPr>
            <w:bookmarkStart w:id="25" w:name="xdx_908_edei--TradingSymbol_c20260720__2"/>
            <w:bookmarkEnd w:id="25"/>
            <w:r>
              <w:rPr/>
              <w:t>NIKI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241" w:type="dxa"/>
            <w:tcBorders/>
            <w:shd w:fill="CCEEFF" w:val="clear"/>
            <w:tcMar>
              <w:bottom w:w="0" w:type="dxa"/>
            </w:tcMar>
            <w:vAlign w:val="center"/>
          </w:tcPr>
          <w:p>
            <w:pPr>
              <w:pStyle w:val="TableContents"/>
              <w:bidi w:val="0"/>
              <w:spacing w:before="0" w:after="283"/>
              <w:jc w:val="center"/>
              <w:rPr/>
            </w:pPr>
            <w:r>
              <w:rPr/>
              <w:t xml:space="preserve">The </w:t>
            </w:r>
            <w:bookmarkStart w:id="26" w:name="xdx_904_edei--SecurityExchangeName_c2026"/>
            <w:bookmarkEnd w:id="26"/>
            <w:r>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7" w:name="xdx_900_edei--EntityEmergingGrowthCompan"/>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28" w:name="xdx_904_edei--AmendmentDescription_c2026"/>
      <w:bookmarkEnd w:id="28"/>
      <w:r>
        <w:rPr>
          <w:rFonts w:ascii="Times New Roman;Times;Serif" w:hAnsi="Times New Roman;Times;Serif"/>
          <w:b w:val="false"/>
          <w:i w:val="false"/>
          <w:caps w:val="false"/>
          <w:smallCaps w:val="false"/>
          <w:sz w:val="20"/>
        </w:rPr>
        <w:t>As previously disclosed in its Current Report on Form 8-K filed with the Securities and Exchange Commission on July 20, 2026 (the “Original Form 8-K”), on that same day (the “Closing Date”), after obtaining the requisite shareholder approval and satisfying the closing conditions, Niki BioSolutions, Inc. (formerly known as Aptorum Group Limited) (the “Company”) consummated its previously announced merger (the “Closing”) pursuant to that certain Agreement and Plan of Merger on July 14, 2025, (the “Merger Agreement”), between Aptorum and DiamiR Biosciences Corp., a Delaware corporation (“DiamiR”), pursuant to which, among other matters, Aptorum was to form a direct, wholly owned subsidiary in the state of Delaware (“Merger Sub”).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to the Original Form 8-K is being filed to amend and supplement the Original Form 8-K, the sole purpose of which is to provide the financial statements required by Item 9.01(a), which were excluded from the Original Form 8-K and are filed as exhibits hereto and are incorporated herein by reference. All other items in the Original Form 8-K remain the same.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Statements of Businesses Acquired.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financial statements of DiamiR, which comprise the balance sheets as of May 31, 2026 and 2025, the related statements of operations, stockholders’ deficit, and cash flows for the years then ended, and the related notes to the audited financial statements, are filed as Exhibit 99.1 hereto and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 Forma Financial Information.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(i) balance sheet as of June 30, 2026 and (ii) income statements for the six months ended June 30, 2026 and the year ended December 31, 2025, and (iii) the related notes thereto, are filed as Exhibit 99.2 hereto and incorporated by reference herein.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Form 8-K is hereby incorporated by reference into the registration statements of the Company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(Registration Number 333-281028) and </w:t>
      </w:r>
      <w:hyperlink r:id="rId3">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(Registration Number 333-292793) and into each prospectus outstanding under the foregoing registration statements, to the extent not superseded by documents or reports subsequently filed or furnished by the Company under the Securities Act of 1933, as amended, or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82"/>
        <w:gridCol w:w="60"/>
        <w:gridCol w:w="8963"/>
      </w:tblGrid>
      <w:tr>
        <w:trPr/>
        <w:tc>
          <w:tcPr>
            <w:tcW w:w="1182" w:type="dxa"/>
            <w:tcBorders>
              <w:bottom w:val="single" w:sz="12" w:space="0" w:color="000000"/>
            </w:tcBorders>
            <w:vAlign w:val="center"/>
          </w:tcPr>
          <w:p>
            <w:pPr>
              <w:pStyle w:val="TableContents"/>
              <w:bidi w:val="0"/>
              <w:spacing w:before="0" w:after="283"/>
              <w:jc w:val="both"/>
              <w:rPr>
                <w:b/>
              </w:rPr>
            </w:pPr>
            <w:r>
              <w:rPr>
                <w:b/>
              </w:rPr>
              <w:t>Exhibit No.</w:t>
            </w:r>
          </w:p>
        </w:tc>
        <w:tc>
          <w:tcPr>
            <w:tcW w:w="60" w:type="dxa"/>
            <w:tcBorders/>
            <w:tcMar>
              <w:bottom w:w="0" w:type="dxa"/>
            </w:tcMar>
            <w:vAlign w:val="center"/>
          </w:tcPr>
          <w:p>
            <w:pPr>
              <w:pStyle w:val="TableContents"/>
              <w:bidi w:val="0"/>
              <w:spacing w:before="0" w:after="283"/>
              <w:jc w:val="both"/>
              <w:rPr/>
            </w:pPr>
            <w:r>
              <w:rPr/>
              <w:t> </w:t>
            </w:r>
          </w:p>
        </w:tc>
        <w:tc>
          <w:tcPr>
            <w:tcW w:w="8963" w:type="dxa"/>
            <w:tcBorders>
              <w:bottom w:val="single" w:sz="12" w:space="0" w:color="000000"/>
            </w:tcBorders>
            <w:vAlign w:val="center"/>
          </w:tcPr>
          <w:p>
            <w:pPr>
              <w:pStyle w:val="TableContents"/>
              <w:bidi w:val="0"/>
              <w:spacing w:before="0" w:after="283"/>
              <w:jc w:val="both"/>
              <w:rPr>
                <w:b/>
              </w:rPr>
            </w:pPr>
            <w:r>
              <w:rPr>
                <w:b/>
              </w:rPr>
              <w:t>Description</w:t>
            </w:r>
          </w:p>
        </w:tc>
      </w:tr>
      <w:tr>
        <w:trPr/>
        <w:tc>
          <w:tcPr>
            <w:tcW w:w="1182" w:type="dxa"/>
            <w:tcBorders/>
            <w:shd w:fill="CCEEFF" w:val="clear"/>
            <w:tcMar>
              <w:bottom w:w="0" w:type="dxa"/>
            </w:tcMar>
            <w:vAlign w:val="center"/>
          </w:tcPr>
          <w:p>
            <w:pPr>
              <w:pStyle w:val="TableContents"/>
              <w:bidi w:val="0"/>
              <w:spacing w:before="0" w:after="283"/>
              <w:jc w:val="both"/>
              <w:rPr/>
            </w:pPr>
            <w:r>
              <w:rPr/>
              <w:t>23.1</w:t>
            </w:r>
          </w:p>
        </w:tc>
        <w:tc>
          <w:tcPr>
            <w:tcW w:w="60" w:type="dxa"/>
            <w:tcBorders/>
            <w:shd w:fill="CCEEFF" w:val="clear"/>
            <w:tcMar>
              <w:bottom w:w="0" w:type="dxa"/>
            </w:tcMar>
            <w:vAlign w:val="center"/>
          </w:tcPr>
          <w:p>
            <w:pPr>
              <w:pStyle w:val="TableContents"/>
              <w:bidi w:val="0"/>
              <w:spacing w:before="0" w:after="283"/>
              <w:jc w:val="both"/>
              <w:rPr/>
            </w:pPr>
            <w:r>
              <w:rPr/>
              <w:t> </w:t>
            </w:r>
          </w:p>
        </w:tc>
        <w:tc>
          <w:tcPr>
            <w:tcW w:w="8963" w:type="dxa"/>
            <w:tcBorders/>
            <w:shd w:fill="CCEEFF" w:val="clear"/>
            <w:tcMar>
              <w:bottom w:w="0" w:type="dxa"/>
            </w:tcMar>
            <w:vAlign w:val="center"/>
          </w:tcPr>
          <w:p>
            <w:pPr>
              <w:pStyle w:val="TableContents"/>
              <w:bidi w:val="0"/>
              <w:spacing w:before="0" w:after="283"/>
              <w:jc w:val="left"/>
              <w:rPr/>
            </w:pPr>
            <w:hyperlink w:anchor="ea030180301ex23-1.htm">
              <w:r>
                <w:rPr>
                  <w:rStyle w:val="InternetLink"/>
                </w:rPr>
                <w:t>Consent of CBIZ CPAs P.C.</w:t>
              </w:r>
            </w:hyperlink>
          </w:p>
        </w:tc>
      </w:tr>
      <w:tr>
        <w:trPr/>
        <w:tc>
          <w:tcPr>
            <w:tcW w:w="1182" w:type="dxa"/>
            <w:tcBorders/>
            <w:shd w:fill="FFFFFF" w:val="clear"/>
            <w:tcMar>
              <w:bottom w:w="0" w:type="dxa"/>
            </w:tcMar>
            <w:vAlign w:val="center"/>
          </w:tcPr>
          <w:p>
            <w:pPr>
              <w:pStyle w:val="TableContents"/>
              <w:bidi w:val="0"/>
              <w:spacing w:before="0" w:after="283"/>
              <w:jc w:val="both"/>
              <w:rPr/>
            </w:pPr>
            <w:r>
              <w:rPr/>
              <w:t>99.1</w:t>
            </w:r>
          </w:p>
        </w:tc>
        <w:tc>
          <w:tcPr>
            <w:tcW w:w="60" w:type="dxa"/>
            <w:tcBorders/>
            <w:shd w:fill="FFFFFF" w:val="clear"/>
            <w:tcMar>
              <w:bottom w:w="0" w:type="dxa"/>
            </w:tcMar>
            <w:vAlign w:val="center"/>
          </w:tcPr>
          <w:p>
            <w:pPr>
              <w:pStyle w:val="TableContents"/>
              <w:bidi w:val="0"/>
              <w:spacing w:before="0" w:after="283"/>
              <w:jc w:val="both"/>
              <w:rPr/>
            </w:pPr>
            <w:r>
              <w:rPr/>
              <w:t> </w:t>
            </w:r>
          </w:p>
        </w:tc>
        <w:tc>
          <w:tcPr>
            <w:tcW w:w="8963" w:type="dxa"/>
            <w:tcBorders/>
            <w:shd w:fill="FFFFFF" w:val="clear"/>
            <w:tcMar>
              <w:bottom w:w="0" w:type="dxa"/>
            </w:tcMar>
            <w:vAlign w:val="center"/>
          </w:tcPr>
          <w:p>
            <w:pPr>
              <w:pStyle w:val="TableContents"/>
              <w:bidi w:val="0"/>
              <w:spacing w:before="0" w:after="283"/>
              <w:jc w:val="both"/>
              <w:rPr/>
            </w:pPr>
            <w:hyperlink w:anchor="ea030180301ex99-1.htm">
              <w:r>
                <w:rPr>
                  <w:rStyle w:val="InternetLink"/>
                </w:rPr>
                <w:t>Audited financial statements of DiamiR as of May 31, 2026 and 2025 and for the years then ended.</w:t>
              </w:r>
            </w:hyperlink>
          </w:p>
        </w:tc>
      </w:tr>
      <w:tr>
        <w:trPr/>
        <w:tc>
          <w:tcPr>
            <w:tcW w:w="1182" w:type="dxa"/>
            <w:tcBorders/>
            <w:shd w:fill="CCEEFF" w:val="clear"/>
            <w:tcMar>
              <w:bottom w:w="0" w:type="dxa"/>
            </w:tcMar>
            <w:vAlign w:val="center"/>
          </w:tcPr>
          <w:p>
            <w:pPr>
              <w:pStyle w:val="TableContents"/>
              <w:bidi w:val="0"/>
              <w:spacing w:before="0" w:after="283"/>
              <w:jc w:val="both"/>
              <w:rPr/>
            </w:pPr>
            <w:r>
              <w:rPr/>
              <w:t>99.2</w:t>
            </w:r>
          </w:p>
        </w:tc>
        <w:tc>
          <w:tcPr>
            <w:tcW w:w="60" w:type="dxa"/>
            <w:tcBorders/>
            <w:shd w:fill="CCEEFF" w:val="clear"/>
            <w:tcMar>
              <w:bottom w:w="0" w:type="dxa"/>
            </w:tcMar>
            <w:vAlign w:val="center"/>
          </w:tcPr>
          <w:p>
            <w:pPr>
              <w:pStyle w:val="TableContents"/>
              <w:bidi w:val="0"/>
              <w:spacing w:before="0" w:after="283"/>
              <w:jc w:val="both"/>
              <w:rPr/>
            </w:pPr>
            <w:r>
              <w:rPr/>
              <w:t> </w:t>
            </w:r>
          </w:p>
        </w:tc>
        <w:tc>
          <w:tcPr>
            <w:tcW w:w="8963" w:type="dxa"/>
            <w:tcBorders/>
            <w:shd w:fill="CCEEFF" w:val="clear"/>
            <w:tcMar>
              <w:bottom w:w="0" w:type="dxa"/>
            </w:tcMar>
            <w:vAlign w:val="center"/>
          </w:tcPr>
          <w:p>
            <w:pPr>
              <w:pStyle w:val="TableContents"/>
              <w:bidi w:val="0"/>
              <w:spacing w:before="0" w:after="283"/>
              <w:jc w:val="both"/>
              <w:rPr/>
            </w:pPr>
            <w:hyperlink w:anchor="ea030180301ex99-2.htm">
              <w:r>
                <w:rPr>
                  <w:rStyle w:val="InternetLink"/>
                </w:rPr>
                <w:t>Unaudited pro forma condensed combined financial statements and the related notes thereto</w:t>
              </w:r>
            </w:hyperlink>
          </w:p>
        </w:tc>
      </w:tr>
      <w:tr>
        <w:trPr/>
        <w:tc>
          <w:tcPr>
            <w:tcW w:w="1182" w:type="dxa"/>
            <w:tcBorders/>
            <w:shd w:fill="FFFFFF" w:val="clear"/>
            <w:tcMar>
              <w:bottom w:w="0" w:type="dxa"/>
            </w:tcMar>
            <w:vAlign w:val="center"/>
          </w:tcPr>
          <w:p>
            <w:pPr>
              <w:pStyle w:val="TableContents"/>
              <w:bidi w:val="0"/>
              <w:spacing w:before="0" w:after="283"/>
              <w:jc w:val="both"/>
              <w:rPr/>
            </w:pPr>
            <w:r>
              <w:rPr/>
              <w:t>104</w:t>
            </w:r>
          </w:p>
        </w:tc>
        <w:tc>
          <w:tcPr>
            <w:tcW w:w="60" w:type="dxa"/>
            <w:tcBorders/>
            <w:shd w:fill="FFFFFF" w:val="clear"/>
            <w:tcMar>
              <w:bottom w:w="0" w:type="dxa"/>
            </w:tcMar>
            <w:vAlign w:val="center"/>
          </w:tcPr>
          <w:p>
            <w:pPr>
              <w:pStyle w:val="TableContents"/>
              <w:bidi w:val="0"/>
              <w:spacing w:before="0" w:after="283"/>
              <w:jc w:val="both"/>
              <w:rPr/>
            </w:pPr>
            <w:r>
              <w:rPr/>
              <w:t> </w:t>
            </w:r>
          </w:p>
        </w:tc>
        <w:tc>
          <w:tcPr>
            <w:tcW w:w="8963" w:type="dxa"/>
            <w:tcBorders/>
            <w:shd w:fill="FFFFFF" w:val="clear"/>
            <w:tcMar>
              <w:bottom w:w="0" w:type="dxa"/>
            </w:tcMar>
            <w:vAlign w:val="center"/>
          </w:tcPr>
          <w:p>
            <w:pPr>
              <w:pStyle w:val="TableContents"/>
              <w:bidi w:val="0"/>
              <w:spacing w:before="0" w:after="283"/>
              <w:jc w:val="both"/>
              <w:rPr/>
            </w:pPr>
            <w:r>
              <w:rPr/>
              <w:t>Cover Page Interactive Data File, formatted in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21, 2026</w:t>
      </w:r>
    </w:p>
    <w:p>
      <w:pPr>
        <w:pStyle w:val="TextBody"/>
        <w:bidi w:val="0"/>
        <w:spacing w:before="0" w:after="0"/>
        <w:ind w:left="0" w:right="0" w:hanging="0"/>
        <w:jc w:val="left"/>
        <w:rPr>
          <w:caps w:val="false"/>
          <w:smallCaps w:val="false"/>
        </w:rPr>
      </w:pPr>
      <w:r>
        <w:rPr>
          <w:caps w:val="false"/>
          <w:smallCaps w:val="false"/>
        </w:rPr>
        <w:t> </w:t>
      </w:r>
    </w:p>
    <w:tbl>
      <w:tblPr>
        <w:tblW w:w="3184" w:type="dxa"/>
        <w:jc w:val="left"/>
        <w:tblInd w:w="0" w:type="dxa"/>
        <w:tblLayout w:type="fixed"/>
        <w:tblCellMar>
          <w:top w:w="0" w:type="dxa"/>
          <w:left w:w="0" w:type="dxa"/>
          <w:bottom w:w="0" w:type="dxa"/>
          <w:right w:w="0" w:type="dxa"/>
        </w:tblCellMar>
      </w:tblPr>
      <w:tblGrid>
        <w:gridCol w:w="443"/>
        <w:gridCol w:w="2666"/>
        <w:gridCol w:w="75"/>
      </w:tblGrid>
      <w:tr>
        <w:trPr/>
        <w:tc>
          <w:tcPr>
            <w:tcW w:w="3109" w:type="dxa"/>
            <w:gridSpan w:val="2"/>
            <w:tcBorders/>
            <w:vAlign w:val="center"/>
          </w:tcPr>
          <w:p>
            <w:pPr>
              <w:pStyle w:val="TableContents"/>
              <w:bidi w:val="0"/>
              <w:spacing w:before="0" w:after="283"/>
              <w:jc w:val="left"/>
              <w:rPr>
                <w:b/>
              </w:rPr>
            </w:pPr>
            <w:r>
              <w:rPr>
                <w:b/>
              </w:rPr>
              <w:t>NIKI BIOSOLUTIONS, INC.</w:t>
            </w:r>
          </w:p>
        </w:tc>
        <w:tc>
          <w:tcPr>
            <w:tcW w:w="75" w:type="dxa"/>
            <w:tcBorders/>
            <w:vAlign w:val="center"/>
          </w:tcPr>
          <w:p>
            <w:pPr>
              <w:pStyle w:val="TableContents"/>
              <w:bidi w:val="0"/>
              <w:spacing w:before="0" w:after="283"/>
              <w:jc w:val="left"/>
              <w:rPr/>
            </w:pPr>
            <w:r>
              <w:rPr/>
              <w:t> </w:t>
            </w:r>
          </w:p>
        </w:tc>
      </w:tr>
      <w:tr>
        <w:trPr/>
        <w:tc>
          <w:tcPr>
            <w:tcW w:w="443" w:type="dxa"/>
            <w:tcBorders/>
            <w:vAlign w:val="center"/>
          </w:tcPr>
          <w:p>
            <w:pPr>
              <w:pStyle w:val="TableContents"/>
              <w:bidi w:val="0"/>
              <w:spacing w:before="0" w:after="283"/>
              <w:jc w:val="left"/>
              <w:rPr/>
            </w:pPr>
            <w:r>
              <w:rPr/>
              <w:t> </w:t>
            </w:r>
          </w:p>
        </w:tc>
        <w:tc>
          <w:tcPr>
            <w:tcW w:w="266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3" w:type="dxa"/>
            <w:tcBorders/>
            <w:vAlign w:val="center"/>
          </w:tcPr>
          <w:p>
            <w:pPr>
              <w:pStyle w:val="TableContents"/>
              <w:bidi w:val="0"/>
              <w:spacing w:before="0" w:after="283"/>
              <w:jc w:val="left"/>
              <w:rPr/>
            </w:pPr>
            <w:r>
              <w:rPr/>
              <w:t>By:</w:t>
            </w:r>
          </w:p>
        </w:tc>
        <w:tc>
          <w:tcPr>
            <w:tcW w:w="2666" w:type="dxa"/>
            <w:tcBorders>
              <w:bottom w:val="single" w:sz="12" w:space="0" w:color="000000"/>
            </w:tcBorders>
            <w:tcMar>
              <w:bottom w:w="28" w:type="dxa"/>
            </w:tcMar>
            <w:vAlign w:val="center"/>
          </w:tcPr>
          <w:p>
            <w:pPr>
              <w:pStyle w:val="TableContents"/>
              <w:bidi w:val="0"/>
              <w:spacing w:before="0" w:after="283"/>
              <w:jc w:val="left"/>
              <w:rPr>
                <w:i/>
              </w:rPr>
            </w:pPr>
            <w:r>
              <w:rPr>
                <w:i/>
              </w:rPr>
              <w:t>/s/ Ian Huen</w:t>
            </w:r>
          </w:p>
        </w:tc>
        <w:tc>
          <w:tcPr>
            <w:tcW w:w="75" w:type="dxa"/>
            <w:tcBorders/>
            <w:vAlign w:val="center"/>
          </w:tcPr>
          <w:p>
            <w:pPr>
              <w:pStyle w:val="TableContents"/>
              <w:bidi w:val="0"/>
              <w:spacing w:before="0" w:after="283"/>
              <w:jc w:val="left"/>
              <w:rPr/>
            </w:pPr>
            <w:r>
              <w:rPr/>
              <w:t> </w:t>
            </w:r>
          </w:p>
        </w:tc>
      </w:tr>
      <w:tr>
        <w:trPr/>
        <w:tc>
          <w:tcPr>
            <w:tcW w:w="443" w:type="dxa"/>
            <w:tcBorders/>
            <w:vAlign w:val="center"/>
          </w:tcPr>
          <w:p>
            <w:pPr>
              <w:pStyle w:val="TableContents"/>
              <w:bidi w:val="0"/>
              <w:spacing w:before="0" w:after="283"/>
              <w:jc w:val="left"/>
              <w:rPr/>
            </w:pPr>
            <w:r>
              <w:rPr/>
              <w:t> </w:t>
            </w:r>
          </w:p>
        </w:tc>
        <w:tc>
          <w:tcPr>
            <w:tcW w:w="2666" w:type="dxa"/>
            <w:tcBorders/>
            <w:vAlign w:val="center"/>
          </w:tcPr>
          <w:p>
            <w:pPr>
              <w:pStyle w:val="TableContents"/>
              <w:bidi w:val="0"/>
              <w:spacing w:before="0" w:after="283"/>
              <w:jc w:val="left"/>
              <w:rPr/>
            </w:pPr>
            <w:r>
              <w:rPr/>
              <w:t>Ian Huen</w:t>
            </w:r>
          </w:p>
        </w:tc>
        <w:tc>
          <w:tcPr>
            <w:tcW w:w="75" w:type="dxa"/>
            <w:tcBorders/>
            <w:vAlign w:val="center"/>
          </w:tcPr>
          <w:p>
            <w:pPr>
              <w:pStyle w:val="TableContents"/>
              <w:bidi w:val="0"/>
              <w:spacing w:before="0" w:after="283"/>
              <w:jc w:val="left"/>
              <w:rPr/>
            </w:pPr>
            <w:r>
              <w:rPr/>
              <w:t> </w:t>
            </w:r>
          </w:p>
        </w:tc>
      </w:tr>
      <w:tr>
        <w:trPr/>
        <w:tc>
          <w:tcPr>
            <w:tcW w:w="443" w:type="dxa"/>
            <w:tcBorders/>
            <w:vAlign w:val="center"/>
          </w:tcPr>
          <w:p>
            <w:pPr>
              <w:pStyle w:val="TableContents"/>
              <w:bidi w:val="0"/>
              <w:spacing w:before="0" w:after="283"/>
              <w:jc w:val="left"/>
              <w:rPr/>
            </w:pPr>
            <w:r>
              <w:rPr/>
              <w:t> </w:t>
            </w:r>
          </w:p>
        </w:tc>
        <w:tc>
          <w:tcPr>
            <w:tcW w:w="2666"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29" w:name="ea030180301ex23-1.htm"/>
      <w:bookmarkStart w:id="30" w:name="ksea030180301ex231"/>
      <w:bookmarkEnd w:id="29"/>
      <w:bookmarkEnd w:id="30"/>
      <w:r>
        <w:rPr>
          <w:b/>
        </w:rPr>
        <w:t>Exhibit 23.1</w:t>
      </w:r>
      <w:r>
        <w:br w:type="page"/>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Current Report on Form 8-K/A of Niki BioSolutions, Inc. of our report dated August 21, 2026 with respect to the financial statements of DiamiR Biosciences Corp. for the year ended May 31, 2026, appearing in Exhibit 99.1 to this Current Report on Form 8-K/A.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 CBIZ CPAs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21, 2026</w:t>
      </w:r>
    </w:p>
    <w:p>
      <w:pPr>
        <w:pStyle w:val="TextBody"/>
        <w:bidi w:val="0"/>
        <w:spacing w:before="0" w:after="283"/>
        <w:jc w:val="left"/>
        <w:rPr/>
      </w:pPr>
      <w:r>
        <w:rPr/>
        <w:t> </w:t>
      </w:r>
    </w:p>
    <w:p>
      <w:pPr>
        <w:pStyle w:val="TextBody"/>
        <w:bidi w:val="0"/>
        <w:jc w:val="right"/>
        <w:rPr>
          <w:b/>
        </w:rPr>
      </w:pPr>
      <w:bookmarkStart w:id="31" w:name="ea030180301ex99-1.htm"/>
      <w:bookmarkStart w:id="32" w:name="ksea030180301ex991"/>
      <w:bookmarkEnd w:id="31"/>
      <w:bookmarkEnd w:id="32"/>
      <w:r>
        <w:rPr>
          <w:b/>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Biosciences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DiamiR Biosciences Corp. (the “Company”) as of May 31, 2026 and 2025, the related consolidated statements of operations, stockholders’ deficit and cash flows for each of the two years in the period ended May 31, 2026, and the related notes (collectively referred to as the “financial statements”). In our opinion, the consolidated financial statements referred to above present fairly, in all material respects, the financial position of the Company as of May 31, 2026 and 2025, and the results of its operations and its cash flows for each of the two years in the period ended May 31, 2026,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Paragraph –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more fully described in Note 2, the Company has a significant working capital deficiency, has incurred significant losses from operations, and needs to raise additional funds to meet its obligations and sustain its operations.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w:t>
      </w:r>
      <w:r>
        <w:rPr>
          <w:rFonts w:ascii="Times New Roman;Times;Serif" w:hAnsi="Times New Roman;Times;Serif"/>
          <w:b/>
          <w:i w:val="false"/>
          <w:caps w:val="false"/>
          <w:smallCaps w:val="false"/>
          <w:sz w:val="20"/>
        </w:rPr>
        <w:t>s</w:t>
      </w:r>
      <w:r>
        <w:rPr>
          <w:rFonts w:ascii="Times New Roman;Times;Serif" w:hAnsi="Times New Roman;Times;Serif"/>
          <w:b w:val="false"/>
          <w:i w:val="false"/>
          <w:caps w:val="false"/>
          <w:smallCaps w:val="false"/>
          <w:sz w:val="20"/>
        </w:rPr>
        <w:t xml:space="preserve">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r>
        <w:rPr>
          <w:rFonts w:ascii="Times New Roman;Times;Serif" w:hAnsi="Times New Roman;Times;Serif"/>
          <w:b w:val="false"/>
          <w:i w:val="false"/>
          <w:smallCaps/>
          <w:sz w:val="20"/>
        </w:rPr>
        <w:t xml:space="preserve"> </w:t>
      </w:r>
      <w:r>
        <w:rPr>
          <w:rFonts w:ascii="Times New Roman;Times;Serif" w:hAnsi="Times New Roman;Times;Serif"/>
          <w:b/>
          <w:i w:val="false"/>
          <w:smallCaps/>
          <w:sz w:val="20"/>
        </w:rPr>
        <w:t>CBIZ CPAs P.C.</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CBIZ CPAs P.C.</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served as the Company’s auditor since 2023 (such date takes into account the acquisition of the attest business of Marcum </w:t>
      </w:r>
      <w:r>
        <w:rPr>
          <w:rFonts w:ascii="Times New Roman;Times;Serif" w:hAnsi="Times New Roman;Times;Serif"/>
          <w:b w:val="false"/>
          <w:i w:val="false"/>
          <w:smallCaps/>
          <w:sz w:val="20"/>
        </w:rPr>
        <w:t>llp</w:t>
      </w:r>
      <w:r>
        <w:rPr>
          <w:rFonts w:ascii="Times New Roman;Times;Serif" w:hAnsi="Times New Roman;Times;Serif"/>
          <w:b w:val="false"/>
          <w:i w:val="false"/>
          <w:caps w:val="false"/>
          <w:smallCaps w:val="false"/>
          <w:sz w:val="20"/>
        </w:rPr>
        <w:t xml:space="preserve"> by CBIZ CPAs P.C. effective November 1, 2024).</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 York, New York </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August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DIAMIR BIOSCIENCES CORP.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06"/>
        <w:gridCol w:w="60"/>
        <w:gridCol w:w="140"/>
        <w:gridCol w:w="1055"/>
        <w:gridCol w:w="95"/>
        <w:gridCol w:w="60"/>
        <w:gridCol w:w="140"/>
        <w:gridCol w:w="1055"/>
        <w:gridCol w:w="94"/>
      </w:tblGrid>
      <w:tr>
        <w:trPr/>
        <w:tc>
          <w:tcPr>
            <w:tcW w:w="75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May 31,</w:t>
            </w:r>
          </w:p>
        </w:tc>
        <w:tc>
          <w:tcPr>
            <w:tcW w:w="94" w:type="dxa"/>
            <w:tcBorders/>
            <w:vAlign w:val="center"/>
          </w:tcPr>
          <w:p>
            <w:pPr>
              <w:pStyle w:val="TableContents"/>
              <w:bidi w:val="0"/>
              <w:spacing w:before="0" w:after="283"/>
              <w:jc w:val="left"/>
              <w:rPr/>
            </w:pPr>
            <w:r>
              <w:rPr/>
              <w:t> </w:t>
            </w:r>
          </w:p>
        </w:tc>
      </w:tr>
      <w:tr>
        <w:trPr/>
        <w:tc>
          <w:tcPr>
            <w:tcW w:w="75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4" w:type="dxa"/>
            <w:tcBorders/>
            <w:vAlign w:val="center"/>
          </w:tcPr>
          <w:p>
            <w:pPr>
              <w:pStyle w:val="TableContents"/>
              <w:bidi w:val="0"/>
              <w:spacing w:before="0" w:after="283"/>
              <w:jc w:val="left"/>
              <w:rPr/>
            </w:pPr>
            <w:r>
              <w:rPr/>
              <w:t> </w:t>
            </w:r>
          </w:p>
        </w:tc>
      </w:tr>
      <w:tr>
        <w:trPr/>
        <w:tc>
          <w:tcPr>
            <w:tcW w:w="7506"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r>
      <w:tr>
        <w:trPr/>
        <w:tc>
          <w:tcPr>
            <w:tcW w:w="7506"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ind w:left="0" w:right="0" w:hanging="200"/>
              <w:jc w:val="left"/>
              <w:rPr/>
            </w:pPr>
            <w:r>
              <w:rPr/>
              <w:t> </w:t>
            </w:r>
          </w:p>
        </w:tc>
      </w:tr>
      <w:tr>
        <w:trPr/>
        <w:tc>
          <w:tcPr>
            <w:tcW w:w="7506"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112,690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56,836</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7506"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212,400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7506"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20,160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46,649</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7506"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345,250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103,485</w:t>
            </w:r>
          </w:p>
        </w:tc>
        <w:tc>
          <w:tcPr>
            <w:tcW w:w="94" w:type="dxa"/>
            <w:tcBorders/>
            <w:shd w:fill="FFFFFF" w:val="clear"/>
            <w:vAlign w:val="center"/>
          </w:tcPr>
          <w:p>
            <w:pPr>
              <w:pStyle w:val="TableContents"/>
              <w:bidi w:val="0"/>
              <w:spacing w:before="0" w:after="283"/>
              <w:jc w:val="left"/>
              <w:rPr/>
            </w:pPr>
            <w:r>
              <w:rPr/>
              <w:t> </w:t>
            </w:r>
          </w:p>
        </w:tc>
      </w:tr>
      <w:tr>
        <w:trPr/>
        <w:tc>
          <w:tcPr>
            <w:tcW w:w="75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7506"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20,029</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7506" w:type="dxa"/>
            <w:tcBorders/>
            <w:shd w:fill="CCEEFF" w:val="clear"/>
            <w:vAlign w:val="center"/>
          </w:tcPr>
          <w:p>
            <w:pPr>
              <w:pStyle w:val="TableContents"/>
              <w:bidi w:val="0"/>
              <w:spacing w:before="0" w:after="283"/>
              <w:jc w:val="left"/>
              <w:rPr/>
            </w:pPr>
            <w:r>
              <w:rPr/>
              <w:t>Right of use asset,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65,508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63,349</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7506"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197,761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197,761</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7506"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618,078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384,624</w:t>
            </w:r>
          </w:p>
        </w:tc>
        <w:tc>
          <w:tcPr>
            <w:tcW w:w="94" w:type="dxa"/>
            <w:tcBorders/>
            <w:shd w:fill="CCEEFF" w:val="clear"/>
            <w:vAlign w:val="center"/>
          </w:tcPr>
          <w:p>
            <w:pPr>
              <w:pStyle w:val="TableContents"/>
              <w:bidi w:val="0"/>
              <w:spacing w:before="0" w:after="283"/>
              <w:jc w:val="left"/>
              <w:rPr/>
            </w:pPr>
            <w:r>
              <w:rPr/>
              <w:t> </w:t>
            </w:r>
          </w:p>
        </w:tc>
      </w:tr>
      <w:tr>
        <w:trPr/>
        <w:tc>
          <w:tcPr>
            <w:tcW w:w="75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7506" w:type="dxa"/>
            <w:tcBorders/>
            <w:shd w:fill="CCEEFF" w:val="clear"/>
            <w:vAlign w:val="center"/>
          </w:tcPr>
          <w:p>
            <w:pPr>
              <w:pStyle w:val="TableContents"/>
              <w:bidi w:val="0"/>
              <w:spacing w:before="0" w:after="283"/>
              <w:jc w:val="left"/>
              <w:rPr>
                <w:b/>
              </w:rPr>
            </w:pPr>
            <w:r>
              <w:rPr>
                <w:b/>
              </w:rPr>
              <w:t>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7506"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7506" w:type="dxa"/>
            <w:tcBorders/>
            <w:shd w:fill="CCEEFF" w:val="clear"/>
            <w:vAlign w:val="center"/>
          </w:tcPr>
          <w:p>
            <w:pPr>
              <w:pStyle w:val="TableContents"/>
              <w:bidi w:val="0"/>
              <w:spacing w:before="0" w:after="283"/>
              <w:jc w:val="left"/>
              <w:rPr/>
            </w:pPr>
            <w:r>
              <w:rPr/>
              <w:t>Convertible notes payable, current, net of discounts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1,314,150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7506"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759,989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231,858</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7506" w:type="dxa"/>
            <w:tcBorders/>
            <w:shd w:fill="CCEEFF" w:val="clear"/>
            <w:vAlign w:val="center"/>
          </w:tcPr>
          <w:p>
            <w:pPr>
              <w:pStyle w:val="TableContents"/>
              <w:bidi w:val="0"/>
              <w:spacing w:before="0" w:after="283"/>
              <w:jc w:val="left"/>
              <w:rPr/>
            </w:pPr>
            <w:r>
              <w:rPr/>
              <w:t>Loan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7506" w:type="dxa"/>
            <w:tcBorders/>
            <w:shd w:fill="FFFFFF" w:val="clear"/>
            <w:vAlign w:val="center"/>
          </w:tcPr>
          <w:p>
            <w:pPr>
              <w:pStyle w:val="TableContents"/>
              <w:bidi w:val="0"/>
              <w:spacing w:before="0" w:after="283"/>
              <w:jc w:val="left"/>
              <w:rPr/>
            </w:pPr>
            <w:r>
              <w:rPr/>
              <w:t>Lease liability,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42,664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41,383</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7506"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43,982</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7506"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2,191,803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317,223</w:t>
            </w:r>
          </w:p>
        </w:tc>
        <w:tc>
          <w:tcPr>
            <w:tcW w:w="94" w:type="dxa"/>
            <w:tcBorders/>
            <w:shd w:fill="FFFFFF" w:val="clear"/>
            <w:vAlign w:val="center"/>
          </w:tcPr>
          <w:p>
            <w:pPr>
              <w:pStyle w:val="TableContents"/>
              <w:bidi w:val="0"/>
              <w:spacing w:before="0" w:after="283"/>
              <w:jc w:val="left"/>
              <w:rPr/>
            </w:pPr>
            <w:r>
              <w:rPr/>
              <w:t> </w:t>
            </w:r>
          </w:p>
        </w:tc>
      </w:tr>
      <w:tr>
        <w:trPr/>
        <w:tc>
          <w:tcPr>
            <w:tcW w:w="75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7506" w:type="dxa"/>
            <w:tcBorders/>
            <w:shd w:fill="FFFFFF" w:val="clear"/>
            <w:vAlign w:val="center"/>
          </w:tcPr>
          <w:p>
            <w:pPr>
              <w:pStyle w:val="TableContents"/>
              <w:bidi w:val="0"/>
              <w:spacing w:before="0" w:after="283"/>
              <w:jc w:val="left"/>
              <w:rPr/>
            </w:pPr>
            <w:r>
              <w:rPr/>
              <w:t>Convertible notes payable, noncurrent, net of discounts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957,662</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7506" w:type="dxa"/>
            <w:tcBorders/>
            <w:shd w:fill="CCEEFF" w:val="clear"/>
            <w:vAlign w:val="center"/>
          </w:tcPr>
          <w:p>
            <w:pPr>
              <w:pStyle w:val="TableContents"/>
              <w:bidi w:val="0"/>
              <w:spacing w:before="0" w:after="283"/>
              <w:jc w:val="left"/>
              <w:rPr/>
            </w:pPr>
            <w:r>
              <w:rPr/>
              <w:t>Lease liability,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20,178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22,698</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7506" w:type="dxa"/>
            <w:tcBorders/>
            <w:shd w:fill="FFFFFF" w:val="clear"/>
            <w:vAlign w:val="center"/>
          </w:tcPr>
          <w:p>
            <w:pPr>
              <w:pStyle w:val="TableContents"/>
              <w:bidi w:val="0"/>
              <w:spacing w:before="0" w:after="283"/>
              <w:jc w:val="left"/>
              <w:rPr/>
            </w:pPr>
            <w:r>
              <w:rPr/>
              <w:t>Income 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176,002</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7506"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2,211,981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1,473,585</w:t>
            </w:r>
          </w:p>
        </w:tc>
        <w:tc>
          <w:tcPr>
            <w:tcW w:w="94" w:type="dxa"/>
            <w:tcBorders/>
            <w:shd w:fill="CCEEFF" w:val="clear"/>
            <w:vAlign w:val="center"/>
          </w:tcPr>
          <w:p>
            <w:pPr>
              <w:pStyle w:val="TableContents"/>
              <w:bidi w:val="0"/>
              <w:spacing w:before="0" w:after="283"/>
              <w:jc w:val="left"/>
              <w:rPr/>
            </w:pPr>
            <w:r>
              <w:rPr/>
              <w:t> </w:t>
            </w:r>
          </w:p>
        </w:tc>
      </w:tr>
      <w:tr>
        <w:trPr/>
        <w:tc>
          <w:tcPr>
            <w:tcW w:w="75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7506" w:type="dxa"/>
            <w:tcBorders/>
            <w:shd w:fill="CCEEFF" w:val="clear"/>
            <w:vAlign w:val="center"/>
          </w:tcPr>
          <w:p>
            <w:pPr>
              <w:pStyle w:val="TableContents"/>
              <w:bidi w:val="0"/>
              <w:spacing w:before="0" w:after="283"/>
              <w:jc w:val="left"/>
              <w:rPr>
                <w:b/>
              </w:rPr>
            </w:pPr>
            <w:r>
              <w:rPr>
                <w:b/>
              </w:rPr>
              <w:t>Commitments and contingencies (Note 11)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4" w:type="dxa"/>
            <w:tcBorders/>
            <w:shd w:fill="CCEEFF" w:val="clear"/>
            <w:vAlign w:val="center"/>
          </w:tcPr>
          <w:p>
            <w:pPr>
              <w:pStyle w:val="TableContents"/>
              <w:bidi w:val="0"/>
              <w:spacing w:before="0" w:after="283"/>
              <w:jc w:val="left"/>
              <w:rPr/>
            </w:pPr>
            <w:r>
              <w:rPr/>
              <w:t> </w:t>
            </w:r>
          </w:p>
        </w:tc>
      </w:tr>
      <w:tr>
        <w:trPr/>
        <w:tc>
          <w:tcPr>
            <w:tcW w:w="75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7506" w:type="dxa"/>
            <w:tcBorders/>
            <w:shd w:fill="CCEEFF" w:val="clear"/>
            <w:vAlign w:val="center"/>
          </w:tcPr>
          <w:p>
            <w:pPr>
              <w:pStyle w:val="TableContents"/>
              <w:bidi w:val="0"/>
              <w:spacing w:before="0" w:after="283"/>
              <w:jc w:val="left"/>
              <w:rPr>
                <w:b/>
              </w:rPr>
            </w:pPr>
            <w:r>
              <w:rPr>
                <w:b/>
              </w:rPr>
              <w:t>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7506" w:type="dxa"/>
            <w:tcBorders/>
            <w:shd w:fill="FFFFFF" w:val="clear"/>
            <w:vAlign w:val="center"/>
          </w:tcPr>
          <w:p>
            <w:pPr>
              <w:pStyle w:val="TableContents"/>
              <w:bidi w:val="0"/>
              <w:spacing w:before="0" w:after="283"/>
              <w:jc w:val="left"/>
              <w:rPr/>
            </w:pPr>
            <w:r>
              <w:rPr/>
              <w:t>Preferred stock, $0.001 par value; 10,000,000 shares authorized; none issued or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7506" w:type="dxa"/>
            <w:tcBorders/>
            <w:shd w:fill="CCEEFF" w:val="clear"/>
            <w:vAlign w:val="center"/>
          </w:tcPr>
          <w:p>
            <w:pPr>
              <w:pStyle w:val="TableContents"/>
              <w:bidi w:val="0"/>
              <w:spacing w:before="0" w:after="283"/>
              <w:jc w:val="left"/>
              <w:rPr/>
            </w:pPr>
            <w:r>
              <w:rPr/>
              <w:t>Common stock, $0.001 par value; 100,000,000 shares authorized; 4,440,891 issued and outstanding at May 31, 2026 and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4,441</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7506" w:type="dxa"/>
            <w:tcBorders/>
            <w:shd w:fill="FFFFFF" w:val="clear"/>
            <w:vAlign w:val="center"/>
          </w:tcPr>
          <w:p>
            <w:pPr>
              <w:pStyle w:val="TableContents"/>
              <w:bidi w:val="0"/>
              <w:spacing w:before="0" w:after="283"/>
              <w:jc w:val="left"/>
              <w:rPr/>
            </w:pPr>
            <w:r>
              <w:rPr/>
              <w:t>Additional paid 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4,884,163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4,729,169</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7506"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(6,482,507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(5,822,571</w:t>
            </w:r>
          </w:p>
        </w:tc>
        <w:tc>
          <w:tcPr>
            <w:tcW w:w="94" w:type="dxa"/>
            <w:tcBorders/>
            <w:shd w:fill="CCEEFF" w:val="clear"/>
            <w:vAlign w:val="center"/>
          </w:tcPr>
          <w:p>
            <w:pPr>
              <w:pStyle w:val="TableContents"/>
              <w:bidi w:val="0"/>
              <w:spacing w:before="0" w:after="283"/>
              <w:ind w:left="0" w:right="0" w:hanging="200"/>
              <w:jc w:val="left"/>
              <w:rPr/>
            </w:pPr>
            <w:r>
              <w:rPr/>
              <w:t>)</w:t>
            </w:r>
          </w:p>
        </w:tc>
      </w:tr>
      <w:tr>
        <w:trPr/>
        <w:tc>
          <w:tcPr>
            <w:tcW w:w="7506" w:type="dxa"/>
            <w:tcBorders/>
            <w:shd w:fill="FFFFFF" w:val="clear"/>
            <w:vAlign w:val="center"/>
          </w:tcPr>
          <w:p>
            <w:pPr>
              <w:pStyle w:val="TableContents"/>
              <w:bidi w:val="0"/>
              <w:spacing w:before="0" w:after="283"/>
              <w:jc w:val="left"/>
              <w:rPr/>
            </w:pPr>
            <w:r>
              <w:rPr/>
              <w:t>Total 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(1,593,903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(1,088,961</w:t>
            </w:r>
          </w:p>
        </w:tc>
        <w:tc>
          <w:tcPr>
            <w:tcW w:w="94" w:type="dxa"/>
            <w:tcBorders/>
            <w:shd w:fill="FFFFFF" w:val="clear"/>
            <w:vAlign w:val="center"/>
          </w:tcPr>
          <w:p>
            <w:pPr>
              <w:pStyle w:val="TableContents"/>
              <w:bidi w:val="0"/>
              <w:spacing w:before="0" w:after="283"/>
              <w:ind w:left="0" w:right="0" w:hanging="200"/>
              <w:jc w:val="left"/>
              <w:rPr/>
            </w:pPr>
            <w:r>
              <w:rPr/>
              <w:t>)</w:t>
            </w:r>
          </w:p>
        </w:tc>
      </w:tr>
      <w:tr>
        <w:trPr/>
        <w:tc>
          <w:tcPr>
            <w:tcW w:w="7506" w:type="dxa"/>
            <w:tcBorders/>
            <w:shd w:fill="CCEEFF" w:val="clear"/>
            <w:vAlign w:val="center"/>
          </w:tcPr>
          <w:p>
            <w:pPr>
              <w:pStyle w:val="TableContents"/>
              <w:bidi w:val="0"/>
              <w:spacing w:before="0" w:after="283"/>
              <w:jc w:val="left"/>
              <w:rPr>
                <w:b/>
              </w:rPr>
            </w:pPr>
            <w:r>
              <w:rPr>
                <w:b/>
              </w:rPr>
              <w:t>Total 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618,078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384,624</w:t>
            </w:r>
          </w:p>
        </w:tc>
        <w:tc>
          <w:tcPr>
            <w:tcW w:w="9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DIAMIR BIOSCIENCES CORP.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caps w:val="false"/>
          <w:smallCaps w:val="false"/>
        </w:rPr>
      </w:pPr>
      <w:r>
        <w:rPr>
          <w:caps w:val="false"/>
          <w:smallCaps w:val="false"/>
        </w:rPr>
        <w:t> </w:t>
      </w:r>
    </w:p>
    <w:tbl>
      <w:tblPr>
        <w:tblW w:w="8105" w:type="dxa"/>
        <w:jc w:val="left"/>
        <w:tblInd w:w="0" w:type="dxa"/>
        <w:tblLayout w:type="fixed"/>
        <w:tblCellMar>
          <w:top w:w="0" w:type="dxa"/>
          <w:left w:w="0" w:type="dxa"/>
          <w:bottom w:w="0" w:type="dxa"/>
          <w:right w:w="0" w:type="dxa"/>
        </w:tblCellMar>
      </w:tblPr>
      <w:tblGrid>
        <w:gridCol w:w="5465"/>
        <w:gridCol w:w="60"/>
        <w:gridCol w:w="140"/>
        <w:gridCol w:w="1055"/>
        <w:gridCol w:w="95"/>
        <w:gridCol w:w="60"/>
        <w:gridCol w:w="140"/>
        <w:gridCol w:w="980"/>
        <w:gridCol w:w="110"/>
      </w:tblGrid>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Years Ended </w:t>
              <w:br/>
              <w:t>May 31,</w:t>
            </w:r>
          </w:p>
        </w:tc>
        <w:tc>
          <w:tcPr>
            <w:tcW w:w="110" w:type="dxa"/>
            <w:tcBorders/>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200"/>
              <w:jc w:val="left"/>
              <w:rPr/>
            </w:pPr>
            <w:r>
              <w:rPr/>
              <w:t> </w:t>
            </w:r>
          </w:p>
        </w:tc>
      </w:tr>
      <w:tr>
        <w:trPr/>
        <w:tc>
          <w:tcPr>
            <w:tcW w:w="5465" w:type="dxa"/>
            <w:tcBorders/>
            <w:shd w:fill="CCEEFF" w:val="clear"/>
            <w:vAlign w:val="center"/>
          </w:tcPr>
          <w:p>
            <w:pPr>
              <w:pStyle w:val="TableContents"/>
              <w:bidi w:val="0"/>
              <w:spacing w:before="0" w:after="283"/>
              <w:jc w:val="left"/>
              <w:rPr/>
            </w:pPr>
            <w:r>
              <w:rPr/>
              <w:t>Service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130,355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5465" w:type="dxa"/>
            <w:tcBorders/>
            <w:shd w:fill="FFFFFF" w:val="clear"/>
            <w:vAlign w:val="center"/>
          </w:tcPr>
          <w:p>
            <w:pPr>
              <w:pStyle w:val="TableContents"/>
              <w:bidi w:val="0"/>
              <w:spacing w:before="0" w:after="283"/>
              <w:jc w:val="left"/>
              <w:rPr/>
            </w:pPr>
            <w:r>
              <w:rPr/>
              <w:t>Grant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531,729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465" w:type="dxa"/>
            <w:tcBorders/>
            <w:shd w:fill="CCEEFF" w:val="clear"/>
            <w:vAlign w:val="center"/>
          </w:tcPr>
          <w:p>
            <w:pPr>
              <w:pStyle w:val="TableContents"/>
              <w:bidi w:val="0"/>
              <w:spacing w:before="0" w:after="283"/>
              <w:jc w:val="left"/>
              <w:rPr/>
            </w:pPr>
            <w:r>
              <w:rPr/>
              <w:t>Other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60,000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100,000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5465"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190,355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631,729</w:t>
            </w:r>
          </w:p>
        </w:tc>
        <w:tc>
          <w:tcPr>
            <w:tcW w:w="11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5465" w:type="dxa"/>
            <w:tcBorders/>
            <w:shd w:fill="FFFFFF" w:val="clear"/>
            <w:vAlign w:val="center"/>
          </w:tcPr>
          <w:p>
            <w:pPr>
              <w:pStyle w:val="TableContents"/>
              <w:bidi w:val="0"/>
              <w:spacing w:before="0" w:after="283"/>
              <w:jc w:val="left"/>
              <w:rPr/>
            </w:pPr>
            <w:r>
              <w:rPr/>
              <w:t>Operating costs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465" w:type="dxa"/>
            <w:tcBorders/>
            <w:shd w:fill="CCEEFF" w:val="clear"/>
            <w:vAlign w:val="center"/>
          </w:tcPr>
          <w:p>
            <w:pPr>
              <w:pStyle w:val="TableContents"/>
              <w:bidi w:val="0"/>
              <w:spacing w:before="0" w:after="283"/>
              <w:jc w:val="left"/>
              <w:rPr/>
            </w:pPr>
            <w:r>
              <w:rPr/>
              <w:t>Cost of Service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93,026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546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480,553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650,591</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46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1,395,008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624,388</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5465" w:type="dxa"/>
            <w:tcBorders/>
            <w:shd w:fill="FFFFFF" w:val="clear"/>
            <w:vAlign w:val="center"/>
          </w:tcPr>
          <w:p>
            <w:pPr>
              <w:pStyle w:val="TableContents"/>
              <w:bidi w:val="0"/>
              <w:spacing w:before="0" w:after="283"/>
              <w:jc w:val="left"/>
              <w:rPr/>
            </w:pPr>
            <w:r>
              <w:rPr/>
              <w:t>Total operating costs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1,968,587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1,274,979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46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(1,778,232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(643,250</w:t>
            </w:r>
          </w:p>
        </w:tc>
        <w:tc>
          <w:tcPr>
            <w:tcW w:w="110" w:type="dxa"/>
            <w:tcBorders/>
            <w:shd w:fill="CCEEFF" w:val="clear"/>
            <w:vAlign w:val="center"/>
          </w:tcPr>
          <w:p>
            <w:pPr>
              <w:pStyle w:val="TableContents"/>
              <w:bidi w:val="0"/>
              <w:spacing w:before="0" w:after="283"/>
              <w:jc w:val="left"/>
              <w:rPr/>
            </w:pPr>
            <w:r>
              <w:rPr/>
              <w:t>)</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465" w:type="dxa"/>
            <w:tcBorders/>
            <w:shd w:fill="CCEEFF" w:val="clear"/>
            <w:vAlign w:val="center"/>
          </w:tcPr>
          <w:p>
            <w:pPr>
              <w:pStyle w:val="TableContents"/>
              <w:bidi w:val="0"/>
              <w:spacing w:before="0" w:after="283"/>
              <w:jc w:val="left"/>
              <w:rPr/>
            </w:pPr>
            <w:r>
              <w:rPr/>
              <w:t>Other income/(expense)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5465"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1,063,143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46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(119,393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(82,046</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5465" w:type="dxa"/>
            <w:tcBorders/>
            <w:shd w:fill="FFFFFF" w:val="clear"/>
            <w:vAlign w:val="center"/>
          </w:tcPr>
          <w:p>
            <w:pPr>
              <w:pStyle w:val="TableContents"/>
              <w:bidi w:val="0"/>
              <w:spacing w:before="0" w:after="283"/>
              <w:jc w:val="left"/>
              <w:rPr/>
            </w:pPr>
            <w:r>
              <w:rPr/>
              <w:t>Total other income/(expense)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943,750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(82,046</w:t>
            </w:r>
          </w:p>
        </w:tc>
        <w:tc>
          <w:tcPr>
            <w:tcW w:w="110" w:type="dxa"/>
            <w:tcBorders/>
            <w:shd w:fill="FFFFFF" w:val="clear"/>
            <w:vAlign w:val="center"/>
          </w:tcPr>
          <w:p>
            <w:pPr>
              <w:pStyle w:val="TableContents"/>
              <w:bidi w:val="0"/>
              <w:spacing w:before="0" w:after="283"/>
              <w:jc w:val="left"/>
              <w:rPr/>
            </w:pPr>
            <w:r>
              <w:rPr/>
              <w:t>)</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5465" w:type="dxa"/>
            <w:tcBorders/>
            <w:shd w:fill="FFFFFF" w:val="clear"/>
            <w:vAlign w:val="center"/>
          </w:tcPr>
          <w:p>
            <w:pPr>
              <w:pStyle w:val="TableContents"/>
              <w:bidi w:val="0"/>
              <w:spacing w:before="0" w:after="283"/>
              <w:jc w:val="left"/>
              <w:rPr>
                <w:b/>
              </w:rPr>
            </w:pPr>
            <w:r>
              <w:rPr>
                <w:b/>
              </w:rPr>
              <w:t>Net loss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(834,482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(725,296</w:t>
            </w:r>
          </w:p>
        </w:tc>
        <w:tc>
          <w:tcPr>
            <w:tcW w:w="110" w:type="dxa"/>
            <w:tcBorders/>
            <w:shd w:fill="FFFFFF" w:val="clear"/>
            <w:vAlign w:val="center"/>
          </w:tcPr>
          <w:p>
            <w:pPr>
              <w:pStyle w:val="TableContents"/>
              <w:bidi w:val="0"/>
              <w:spacing w:before="0" w:after="283"/>
              <w:ind w:left="0" w:right="0" w:hanging="200"/>
              <w:jc w:val="left"/>
              <w:rPr>
                <w:b/>
              </w:rPr>
            </w:pPr>
            <w:r>
              <w:rPr>
                <w:b/>
              </w:rPr>
              <w:t>)</w:t>
            </w:r>
          </w:p>
        </w:tc>
      </w:tr>
      <w:tr>
        <w:trPr/>
        <w:tc>
          <w:tcPr>
            <w:tcW w:w="5465" w:type="dxa"/>
            <w:tcBorders/>
            <w:shd w:fill="CCEEFF" w:val="clear"/>
            <w:vAlign w:val="center"/>
          </w:tcPr>
          <w:p>
            <w:pPr>
              <w:pStyle w:val="TableContents"/>
              <w:bidi w:val="0"/>
              <w:spacing w:before="0" w:after="283"/>
              <w:jc w:val="left"/>
              <w:rPr/>
            </w:pPr>
            <w:r>
              <w:rPr/>
              <w:t>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(174,546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17,939</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546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(659,936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(743,235</w:t>
            </w:r>
          </w:p>
        </w:tc>
        <w:tc>
          <w:tcPr>
            <w:tcW w:w="110" w:type="dxa"/>
            <w:tcBorders/>
            <w:shd w:fill="FFFFFF" w:val="clear"/>
            <w:vAlign w:val="center"/>
          </w:tcPr>
          <w:p>
            <w:pPr>
              <w:pStyle w:val="TableContents"/>
              <w:bidi w:val="0"/>
              <w:spacing w:before="0" w:after="283"/>
              <w:jc w:val="left"/>
              <w:rPr>
                <w:b/>
              </w:rPr>
            </w:pPr>
            <w:r>
              <w:rPr>
                <w:b/>
              </w:rPr>
              <w:t>)</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5465" w:type="dxa"/>
            <w:tcBorders/>
            <w:shd w:fill="FFFFFF" w:val="clear"/>
            <w:vAlign w:val="center"/>
          </w:tcPr>
          <w:p>
            <w:pPr>
              <w:pStyle w:val="TableContents"/>
              <w:bidi w:val="0"/>
              <w:spacing w:before="0" w:after="283"/>
              <w:jc w:val="left"/>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(0.17</w:t>
            </w:r>
          </w:p>
        </w:tc>
        <w:tc>
          <w:tcPr>
            <w:tcW w:w="110" w:type="dxa"/>
            <w:tcBorders/>
            <w:shd w:fill="FFFFFF" w:val="clear"/>
            <w:vAlign w:val="center"/>
          </w:tcPr>
          <w:p>
            <w:pPr>
              <w:pStyle w:val="TableContents"/>
              <w:bidi w:val="0"/>
              <w:spacing w:before="0" w:after="283"/>
              <w:jc w:val="left"/>
              <w:rPr/>
            </w:pPr>
            <w:r>
              <w:rPr/>
              <w:t>)</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5465" w:type="dxa"/>
            <w:tcBorders/>
            <w:shd w:fill="FFFFFF" w:val="clear"/>
            <w:vAlign w:val="center"/>
          </w:tcPr>
          <w:p>
            <w:pPr>
              <w:pStyle w:val="TableContents"/>
              <w:bidi w:val="0"/>
              <w:spacing w:before="0" w:after="283"/>
              <w:jc w:val="left"/>
              <w:rPr/>
            </w:pPr>
            <w:r>
              <w:rPr/>
              <w:t>Weighted average number of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465"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4,440,891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4,440,891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DIAMIR BIOSCIENCES CORP.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STOCKHOLDERS’ DEFICIT</w:t>
      </w:r>
    </w:p>
    <w:p>
      <w:pPr>
        <w:pStyle w:val="TextBody"/>
        <w:bidi w:val="0"/>
        <w:spacing w:before="0" w:after="0"/>
        <w:ind w:left="0" w:right="0" w:hanging="0"/>
        <w:jc w:val="center"/>
        <w:rPr>
          <w:caps w:val="false"/>
          <w:smallCaps w:val="false"/>
        </w:rPr>
      </w:pPr>
      <w:r>
        <w:rPr>
          <w:caps w:val="false"/>
          <w:smallCaps w:val="false"/>
        </w:rPr>
        <w:t> </w:t>
      </w:r>
    </w:p>
    <w:tbl>
      <w:tblPr>
        <w:tblW w:w="10014" w:type="dxa"/>
        <w:jc w:val="left"/>
        <w:tblInd w:w="0" w:type="dxa"/>
        <w:tblLayout w:type="fixed"/>
        <w:tblCellMar>
          <w:top w:w="0" w:type="dxa"/>
          <w:left w:w="0" w:type="dxa"/>
          <w:bottom w:w="0" w:type="dxa"/>
          <w:right w:w="0" w:type="dxa"/>
        </w:tblCellMar>
      </w:tblPr>
      <w:tblGrid>
        <w:gridCol w:w="3485"/>
        <w:gridCol w:w="60"/>
        <w:gridCol w:w="60"/>
        <w:gridCol w:w="980"/>
        <w:gridCol w:w="60"/>
        <w:gridCol w:w="60"/>
        <w:gridCol w:w="172"/>
        <w:gridCol w:w="688"/>
        <w:gridCol w:w="60"/>
        <w:gridCol w:w="60"/>
        <w:gridCol w:w="145"/>
        <w:gridCol w:w="1015"/>
        <w:gridCol w:w="60"/>
        <w:gridCol w:w="60"/>
        <w:gridCol w:w="160"/>
        <w:gridCol w:w="1210"/>
        <w:gridCol w:w="95"/>
        <w:gridCol w:w="60"/>
        <w:gridCol w:w="164"/>
        <w:gridCol w:w="1250"/>
        <w:gridCol w:w="110"/>
      </w:tblGrid>
      <w:tr>
        <w:trPr/>
        <w:tc>
          <w:tcPr>
            <w:tcW w:w="3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b/>
              </w:rPr>
            </w:pPr>
            <w:r>
              <w:rPr>
                <w:b/>
              </w:rPr>
              <w:t xml:space="preserve">Additional </w:t>
              <w:br/>
              <w:t>Paid 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vAlign w:val="center"/>
          </w:tcPr>
          <w:p>
            <w:pPr>
              <w:pStyle w:val="TableContents"/>
              <w:bidi w:val="0"/>
              <w:spacing w:before="0" w:after="283"/>
              <w:jc w:val="center"/>
              <w:rPr>
                <w:b/>
              </w:rPr>
            </w:pPr>
            <w:r>
              <w:rPr>
                <w:b/>
              </w:rPr>
              <w:t xml:space="preserve">Total </w:t>
              <w:br/>
              <w:t>Stockholders’</w:t>
            </w:r>
          </w:p>
        </w:tc>
        <w:tc>
          <w:tcPr>
            <w:tcW w:w="110" w:type="dxa"/>
            <w:tcBorders/>
            <w:vAlign w:val="center"/>
          </w:tcPr>
          <w:p>
            <w:pPr>
              <w:pStyle w:val="TableContents"/>
              <w:bidi w:val="0"/>
              <w:spacing w:before="0" w:after="283"/>
              <w:jc w:val="center"/>
              <w:rPr/>
            </w:pPr>
            <w:r>
              <w:rPr/>
              <w:t> </w:t>
            </w:r>
          </w:p>
        </w:tc>
      </w:tr>
      <w:tr>
        <w:trPr/>
        <w:tc>
          <w:tcPr>
            <w:tcW w:w="3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ind w:left="0" w:right="0" w:hanging="200"/>
              <w:jc w:val="center"/>
              <w:rPr/>
            </w:pPr>
            <w:r>
              <w:rPr/>
              <w:t> </w:t>
            </w:r>
          </w:p>
        </w:tc>
      </w:tr>
      <w:tr>
        <w:trPr/>
        <w:tc>
          <w:tcPr>
            <w:tcW w:w="3485" w:type="dxa"/>
            <w:tcBorders/>
            <w:shd w:fill="CCEEFF" w:val="clear"/>
            <w:vAlign w:val="center"/>
          </w:tcPr>
          <w:p>
            <w:pPr>
              <w:pStyle w:val="TableContents"/>
              <w:bidi w:val="0"/>
              <w:spacing w:before="0" w:after="283"/>
              <w:jc w:val="left"/>
              <w:rPr>
                <w:b/>
              </w:rPr>
            </w:pPr>
            <w:r>
              <w:rPr>
                <w:b/>
              </w:rPr>
              <w:t>Balance as of May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4,440,891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4,441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015" w:type="dxa"/>
            <w:tcBorders/>
            <w:shd w:fill="CCEEFF" w:val="clear"/>
            <w:vAlign w:val="center"/>
          </w:tcPr>
          <w:p>
            <w:pPr>
              <w:pStyle w:val="TableContents"/>
              <w:bidi w:val="0"/>
              <w:spacing w:before="0" w:after="283"/>
              <w:jc w:val="right"/>
              <w:rPr>
                <w:b/>
              </w:rPr>
            </w:pPr>
            <w:r>
              <w:rPr>
                <w:b/>
              </w:rPr>
              <w:t>4,670,165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b/>
              </w:rPr>
            </w:pPr>
            <w:r>
              <w:rPr>
                <w:b/>
              </w:rPr>
              <w:t>$</w:t>
            </w:r>
          </w:p>
        </w:tc>
        <w:tc>
          <w:tcPr>
            <w:tcW w:w="1210" w:type="dxa"/>
            <w:tcBorders/>
            <w:shd w:fill="CCEEFF" w:val="clear"/>
            <w:vAlign w:val="center"/>
          </w:tcPr>
          <w:p>
            <w:pPr>
              <w:pStyle w:val="TableContents"/>
              <w:bidi w:val="0"/>
              <w:spacing w:before="0" w:after="283"/>
              <w:jc w:val="right"/>
              <w:rPr>
                <w:b/>
              </w:rPr>
            </w:pPr>
            <w:r>
              <w:rPr>
                <w:b/>
              </w:rPr>
              <w:t>(5,079,336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b/>
              </w:rPr>
            </w:pPr>
            <w:r>
              <w:rPr>
                <w:b/>
              </w:rPr>
              <w:t>$</w:t>
            </w:r>
          </w:p>
        </w:tc>
        <w:tc>
          <w:tcPr>
            <w:tcW w:w="1250" w:type="dxa"/>
            <w:tcBorders/>
            <w:shd w:fill="CCEEFF" w:val="clear"/>
            <w:vAlign w:val="center"/>
          </w:tcPr>
          <w:p>
            <w:pPr>
              <w:pStyle w:val="TableContents"/>
              <w:bidi w:val="0"/>
              <w:spacing w:before="0" w:after="283"/>
              <w:jc w:val="right"/>
              <w:rPr>
                <w:b/>
              </w:rPr>
            </w:pPr>
            <w:r>
              <w:rPr>
                <w:b/>
              </w:rPr>
              <w:t>(404,730</w:t>
            </w:r>
          </w:p>
        </w:tc>
        <w:tc>
          <w:tcPr>
            <w:tcW w:w="110" w:type="dxa"/>
            <w:tcBorders/>
            <w:shd w:fill="CCEEFF" w:val="clear"/>
            <w:vAlign w:val="center"/>
          </w:tcPr>
          <w:p>
            <w:pPr>
              <w:pStyle w:val="TableContents"/>
              <w:bidi w:val="0"/>
              <w:spacing w:before="0" w:after="283"/>
              <w:ind w:left="0" w:right="0" w:hanging="200"/>
              <w:jc w:val="left"/>
              <w:rPr>
                <w:b/>
              </w:rPr>
            </w:pPr>
            <w:r>
              <w:rPr>
                <w:b/>
              </w:rPr>
              <w:t>)</w:t>
            </w:r>
          </w:p>
        </w:tc>
      </w:tr>
      <w:tr>
        <w:trPr/>
        <w:tc>
          <w:tcPr>
            <w:tcW w:w="3485" w:type="dxa"/>
            <w:tcBorders/>
            <w:shd w:fill="FFFFFF" w:val="clear"/>
            <w:vAlign w:val="center"/>
          </w:tcPr>
          <w:p>
            <w:pPr>
              <w:pStyle w:val="TableContents"/>
              <w:bidi w:val="0"/>
              <w:spacing w:before="0" w:after="283"/>
              <w:jc w:val="left"/>
              <w:rPr/>
            </w:pPr>
            <w:r>
              <w:rPr/>
              <w:t>Stock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24,312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24,312</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485" w:type="dxa"/>
            <w:tcBorders/>
            <w:shd w:fill="CCEEFF" w:val="clear"/>
            <w:vAlign w:val="center"/>
          </w:tcPr>
          <w:p>
            <w:pPr>
              <w:pStyle w:val="TableContents"/>
              <w:bidi w:val="0"/>
              <w:spacing w:before="0" w:after="283"/>
              <w:jc w:val="left"/>
              <w:rPr/>
            </w:pPr>
            <w:r>
              <w:rPr/>
              <w:t>Discount on note payable to founder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34,692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34,692</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48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(743,235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(743,235</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3485" w:type="dxa"/>
            <w:tcBorders/>
            <w:shd w:fill="CCEEFF" w:val="clear"/>
            <w:vAlign w:val="center"/>
          </w:tcPr>
          <w:p>
            <w:pPr>
              <w:pStyle w:val="TableContents"/>
              <w:bidi w:val="0"/>
              <w:spacing w:before="0" w:after="283"/>
              <w:jc w:val="left"/>
              <w:rPr>
                <w:b/>
              </w:rPr>
            </w:pPr>
            <w:r>
              <w:rPr>
                <w:b/>
              </w:rPr>
              <w:t>Balance as of May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4,440,891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4,441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015" w:type="dxa"/>
            <w:tcBorders/>
            <w:shd w:fill="CCEEFF" w:val="clear"/>
            <w:vAlign w:val="center"/>
          </w:tcPr>
          <w:p>
            <w:pPr>
              <w:pStyle w:val="TableContents"/>
              <w:bidi w:val="0"/>
              <w:spacing w:before="0" w:after="283"/>
              <w:jc w:val="right"/>
              <w:rPr>
                <w:b/>
              </w:rPr>
            </w:pPr>
            <w:r>
              <w:rPr>
                <w:b/>
              </w:rPr>
              <w:t>4,729,169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b/>
              </w:rPr>
            </w:pPr>
            <w:r>
              <w:rPr>
                <w:b/>
              </w:rPr>
              <w:t>$</w:t>
            </w:r>
          </w:p>
        </w:tc>
        <w:tc>
          <w:tcPr>
            <w:tcW w:w="1210" w:type="dxa"/>
            <w:tcBorders/>
            <w:shd w:fill="CCEEFF" w:val="clear"/>
            <w:vAlign w:val="center"/>
          </w:tcPr>
          <w:p>
            <w:pPr>
              <w:pStyle w:val="TableContents"/>
              <w:bidi w:val="0"/>
              <w:spacing w:before="0" w:after="283"/>
              <w:jc w:val="right"/>
              <w:rPr>
                <w:b/>
              </w:rPr>
            </w:pPr>
            <w:r>
              <w:rPr>
                <w:b/>
              </w:rPr>
              <w:t>(5,822,571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b/>
              </w:rPr>
            </w:pPr>
            <w:r>
              <w:rPr>
                <w:b/>
              </w:rPr>
              <w:t>$</w:t>
            </w:r>
          </w:p>
        </w:tc>
        <w:tc>
          <w:tcPr>
            <w:tcW w:w="1250" w:type="dxa"/>
            <w:tcBorders/>
            <w:shd w:fill="CCEEFF" w:val="clear"/>
            <w:vAlign w:val="center"/>
          </w:tcPr>
          <w:p>
            <w:pPr>
              <w:pStyle w:val="TableContents"/>
              <w:bidi w:val="0"/>
              <w:spacing w:before="0" w:after="283"/>
              <w:jc w:val="right"/>
              <w:rPr>
                <w:b/>
              </w:rPr>
            </w:pPr>
            <w:r>
              <w:rPr>
                <w:b/>
              </w:rPr>
              <w:t>(1,088,961</w:t>
            </w:r>
          </w:p>
        </w:tc>
        <w:tc>
          <w:tcPr>
            <w:tcW w:w="110" w:type="dxa"/>
            <w:tcBorders/>
            <w:shd w:fill="CCEEFF" w:val="clear"/>
            <w:vAlign w:val="center"/>
          </w:tcPr>
          <w:p>
            <w:pPr>
              <w:pStyle w:val="TableContents"/>
              <w:bidi w:val="0"/>
              <w:spacing w:before="0" w:after="283"/>
              <w:ind w:left="0" w:right="0" w:hanging="200"/>
              <w:jc w:val="left"/>
              <w:rPr>
                <w:b/>
              </w:rPr>
            </w:pPr>
            <w:r>
              <w:rPr>
                <w:b/>
              </w:rPr>
              <w:t>)</w:t>
            </w:r>
          </w:p>
        </w:tc>
      </w:tr>
      <w:tr>
        <w:trPr/>
        <w:tc>
          <w:tcPr>
            <w:tcW w:w="3485" w:type="dxa"/>
            <w:tcBorders/>
            <w:shd w:fill="FFFFFF" w:val="clear"/>
            <w:vAlign w:val="center"/>
          </w:tcPr>
          <w:p>
            <w:pPr>
              <w:pStyle w:val="TableContents"/>
              <w:bidi w:val="0"/>
              <w:spacing w:before="0" w:after="283"/>
              <w:jc w:val="left"/>
              <w:rPr/>
            </w:pPr>
            <w:r>
              <w:rPr/>
              <w:t>Stock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142,300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142,300</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485" w:type="dxa"/>
            <w:tcBorders/>
            <w:shd w:fill="CCEEFF" w:val="clear"/>
            <w:vAlign w:val="center"/>
          </w:tcPr>
          <w:p>
            <w:pPr>
              <w:pStyle w:val="TableContents"/>
              <w:bidi w:val="0"/>
              <w:spacing w:before="0" w:after="283"/>
              <w:jc w:val="left"/>
              <w:rPr/>
            </w:pPr>
            <w:r>
              <w:rPr/>
              <w:t>Discount on note payable to founder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12,694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12,694</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48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(659,936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(659,936</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3485" w:type="dxa"/>
            <w:tcBorders/>
            <w:shd w:fill="CCEEFF" w:val="clear"/>
            <w:vAlign w:val="center"/>
          </w:tcPr>
          <w:p>
            <w:pPr>
              <w:pStyle w:val="TableContents"/>
              <w:bidi w:val="0"/>
              <w:spacing w:before="0" w:after="283"/>
              <w:jc w:val="left"/>
              <w:rPr>
                <w:b/>
              </w:rPr>
            </w:pPr>
            <w:r>
              <w:rPr>
                <w:b/>
              </w:rPr>
              <w:t>Balance as of May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4,440,891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4,884,163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(6,482,507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(1,593,903</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DIAMIR BIOSCIENCES CORP.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12"/>
        <w:gridCol w:w="60"/>
        <w:gridCol w:w="141"/>
        <w:gridCol w:w="890"/>
        <w:gridCol w:w="95"/>
        <w:gridCol w:w="60"/>
        <w:gridCol w:w="141"/>
        <w:gridCol w:w="890"/>
        <w:gridCol w:w="116"/>
      </w:tblGrid>
      <w:tr>
        <w:trPr/>
        <w:tc>
          <w:tcPr>
            <w:tcW w:w="7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Years Ended </w:t>
              <w:br/>
              <w:t>May 31,</w:t>
            </w:r>
          </w:p>
        </w:tc>
        <w:tc>
          <w:tcPr>
            <w:tcW w:w="116" w:type="dxa"/>
            <w:tcBorders/>
            <w:vAlign w:val="center"/>
          </w:tcPr>
          <w:p>
            <w:pPr>
              <w:pStyle w:val="TableContents"/>
              <w:bidi w:val="0"/>
              <w:spacing w:before="0" w:after="283"/>
              <w:jc w:val="center"/>
              <w:rPr/>
            </w:pPr>
            <w:r>
              <w:rPr/>
              <w:t> </w:t>
            </w:r>
          </w:p>
        </w:tc>
      </w:tr>
      <w:tr>
        <w:trPr/>
        <w:tc>
          <w:tcPr>
            <w:tcW w:w="7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center"/>
              <w:rPr/>
            </w:pPr>
            <w:r>
              <w:rPr/>
              <w:t> </w:t>
            </w:r>
          </w:p>
        </w:tc>
      </w:tr>
      <w:tr>
        <w:trPr/>
        <w:tc>
          <w:tcPr>
            <w:tcW w:w="7812"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031"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1" w:type="dxa"/>
            <w:gridSpan w:val="2"/>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(659,936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(743,235</w:t>
            </w:r>
          </w:p>
        </w:tc>
        <w:tc>
          <w:tcPr>
            <w:tcW w:w="116" w:type="dxa"/>
            <w:tcBorders/>
            <w:shd w:fill="CCEEFF" w:val="clear"/>
            <w:vAlign w:val="center"/>
          </w:tcPr>
          <w:p>
            <w:pPr>
              <w:pStyle w:val="TableContents"/>
              <w:bidi w:val="0"/>
              <w:spacing w:before="0" w:after="283"/>
              <w:jc w:val="left"/>
              <w:rPr/>
            </w:pPr>
            <w:r>
              <w:rPr/>
              <w:t>)</w:t>
            </w:r>
          </w:p>
        </w:tc>
      </w:tr>
      <w:tr>
        <w:trPr/>
        <w:tc>
          <w:tcPr>
            <w:tcW w:w="7812" w:type="dxa"/>
            <w:tcBorders/>
            <w:shd w:fill="FFFFFF" w:val="clear"/>
            <w:vAlign w:val="center"/>
          </w:tcPr>
          <w:p>
            <w:pPr>
              <w:pStyle w:val="TableContents"/>
              <w:bidi w:val="0"/>
              <w:spacing w:before="0" w:after="283"/>
              <w:jc w:val="left"/>
              <w:rPr/>
            </w:pPr>
            <w:r>
              <w:rPr/>
              <w:t>Reconciliation of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17,408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20,828</w:t>
            </w:r>
          </w:p>
        </w:tc>
        <w:tc>
          <w:tcPr>
            <w:tcW w:w="116" w:type="dxa"/>
            <w:tcBorders/>
            <w:shd w:fill="CCEEFF" w:val="clear"/>
            <w:vAlign w:val="center"/>
          </w:tcPr>
          <w:p>
            <w:pPr>
              <w:pStyle w:val="TableContents"/>
              <w:bidi w:val="0"/>
              <w:spacing w:before="0" w:after="283"/>
              <w:jc w:val="left"/>
              <w:rPr/>
            </w:pPr>
            <w:r>
              <w:rPr/>
              <w:t> </w:t>
            </w:r>
          </w:p>
        </w:tc>
      </w:tr>
      <w:tr>
        <w:trPr/>
        <w:tc>
          <w:tcPr>
            <w:tcW w:w="7812" w:type="dxa"/>
            <w:tcBorders/>
            <w:shd w:fill="FFFFFF" w:val="clear"/>
            <w:vAlign w:val="center"/>
          </w:tcPr>
          <w:p>
            <w:pPr>
              <w:pStyle w:val="TableContents"/>
              <w:bidi w:val="0"/>
              <w:spacing w:before="0" w:after="283"/>
              <w:jc w:val="left"/>
              <w:rPr/>
            </w:pPr>
            <w:r>
              <w:rPr/>
              <w:t>Stock compensation</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142,300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24,312</w:t>
            </w:r>
          </w:p>
        </w:tc>
        <w:tc>
          <w:tcPr>
            <w:tcW w:w="116" w:type="dxa"/>
            <w:tcBorders/>
            <w:shd w:fill="FFFFFF" w:val="clear"/>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Deferred offering costs expensed</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150,526</w:t>
            </w:r>
          </w:p>
        </w:tc>
        <w:tc>
          <w:tcPr>
            <w:tcW w:w="116" w:type="dxa"/>
            <w:tcBorders/>
            <w:shd w:fill="CCEEFF" w:val="clear"/>
            <w:vAlign w:val="center"/>
          </w:tcPr>
          <w:p>
            <w:pPr>
              <w:pStyle w:val="TableContents"/>
              <w:bidi w:val="0"/>
              <w:spacing w:before="0" w:after="283"/>
              <w:jc w:val="left"/>
              <w:rPr/>
            </w:pPr>
            <w:r>
              <w:rPr/>
              <w:t> </w:t>
            </w:r>
          </w:p>
        </w:tc>
      </w:tr>
      <w:tr>
        <w:trPr/>
        <w:tc>
          <w:tcPr>
            <w:tcW w:w="7812" w:type="dxa"/>
            <w:tcBorders/>
            <w:shd w:fill="FFFFFF" w:val="clear"/>
            <w:vAlign w:val="center"/>
          </w:tcPr>
          <w:p>
            <w:pPr>
              <w:pStyle w:val="TableContents"/>
              <w:bidi w:val="0"/>
              <w:spacing w:before="0" w:after="283"/>
              <w:jc w:val="left"/>
              <w:rPr/>
            </w:pPr>
            <w:r>
              <w:rPr/>
              <w:t>Noncash lease expense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(2,158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(1,830</w:t>
            </w:r>
          </w:p>
        </w:tc>
        <w:tc>
          <w:tcPr>
            <w:tcW w:w="116" w:type="dxa"/>
            <w:tcBorders/>
            <w:shd w:fill="FFFFFF" w:val="clear"/>
            <w:vAlign w:val="center"/>
          </w:tcPr>
          <w:p>
            <w:pPr>
              <w:pStyle w:val="TableContents"/>
              <w:bidi w:val="0"/>
              <w:spacing w:before="0" w:after="283"/>
              <w:jc w:val="left"/>
              <w:rPr/>
            </w:pPr>
            <w:r>
              <w:rPr/>
              <w:t>)</w:t>
            </w:r>
          </w:p>
        </w:tc>
      </w:tr>
      <w:tr>
        <w:trPr/>
        <w:tc>
          <w:tcPr>
            <w:tcW w:w="7812"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(1,239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1,867</w:t>
            </w:r>
          </w:p>
        </w:tc>
        <w:tc>
          <w:tcPr>
            <w:tcW w:w="116" w:type="dxa"/>
            <w:tcBorders/>
            <w:shd w:fill="CCEEFF" w:val="clear"/>
            <w:vAlign w:val="center"/>
          </w:tcPr>
          <w:p>
            <w:pPr>
              <w:pStyle w:val="TableContents"/>
              <w:bidi w:val="0"/>
              <w:spacing w:before="0" w:after="283"/>
              <w:jc w:val="left"/>
              <w:rPr/>
            </w:pPr>
            <w:r>
              <w:rPr/>
              <w:t> </w:t>
            </w:r>
          </w:p>
        </w:tc>
      </w:tr>
      <w:tr>
        <w:trPr/>
        <w:tc>
          <w:tcPr>
            <w:tcW w:w="7812" w:type="dxa"/>
            <w:tcBorders/>
            <w:shd w:fill="FFFFFF" w:val="clear"/>
            <w:vAlign w:val="center"/>
          </w:tcPr>
          <w:p>
            <w:pPr>
              <w:pStyle w:val="TableContents"/>
              <w:bidi w:val="0"/>
              <w:spacing w:before="0" w:after="283"/>
              <w:jc w:val="left"/>
              <w:rPr/>
            </w:pPr>
            <w:r>
              <w:rPr/>
              <w:t>Amortization of note discount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65,705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43,538</w:t>
            </w:r>
          </w:p>
        </w:tc>
        <w:tc>
          <w:tcPr>
            <w:tcW w:w="116" w:type="dxa"/>
            <w:tcBorders/>
            <w:shd w:fill="FFFFFF" w:val="clear"/>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Increase (decrease) in cash resulting from 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7812"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(212,400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89,281</w:t>
            </w:r>
          </w:p>
        </w:tc>
        <w:tc>
          <w:tcPr>
            <w:tcW w:w="116" w:type="dxa"/>
            <w:tcBorders/>
            <w:shd w:fill="FFFFFF" w:val="clear"/>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26,489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(77,036</w:t>
            </w:r>
          </w:p>
        </w:tc>
        <w:tc>
          <w:tcPr>
            <w:tcW w:w="116" w:type="dxa"/>
            <w:tcBorders/>
            <w:shd w:fill="CCEEFF" w:val="clear"/>
            <w:vAlign w:val="center"/>
          </w:tcPr>
          <w:p>
            <w:pPr>
              <w:pStyle w:val="TableContents"/>
              <w:bidi w:val="0"/>
              <w:spacing w:before="0" w:after="283"/>
              <w:jc w:val="left"/>
              <w:rPr/>
            </w:pPr>
            <w:r>
              <w:rPr/>
              <w:t>)</w:t>
            </w:r>
          </w:p>
        </w:tc>
      </w:tr>
      <w:tr>
        <w:trPr/>
        <w:tc>
          <w:tcPr>
            <w:tcW w:w="7812"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528,131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83,210</w:t>
            </w:r>
          </w:p>
        </w:tc>
        <w:tc>
          <w:tcPr>
            <w:tcW w:w="116" w:type="dxa"/>
            <w:tcBorders/>
            <w:shd w:fill="FFFFFF" w:val="clear"/>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Accrued interest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53,476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34,634</w:t>
            </w:r>
          </w:p>
        </w:tc>
        <w:tc>
          <w:tcPr>
            <w:tcW w:w="116" w:type="dxa"/>
            <w:tcBorders/>
            <w:shd w:fill="CCEEFF" w:val="clear"/>
            <w:vAlign w:val="center"/>
          </w:tcPr>
          <w:p>
            <w:pPr>
              <w:pStyle w:val="TableContents"/>
              <w:bidi w:val="0"/>
              <w:spacing w:before="0" w:after="283"/>
              <w:jc w:val="left"/>
              <w:rPr/>
            </w:pPr>
            <w:r>
              <w:rPr/>
              <w:t> </w:t>
            </w:r>
          </w:p>
        </w:tc>
      </w:tr>
      <w:tr>
        <w:trPr/>
        <w:tc>
          <w:tcPr>
            <w:tcW w:w="7812"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(33,982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43,982</w:t>
            </w:r>
          </w:p>
        </w:tc>
        <w:tc>
          <w:tcPr>
            <w:tcW w:w="116" w:type="dxa"/>
            <w:tcBorders/>
            <w:shd w:fill="FFFFFF" w:val="clear"/>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Income taxes payable</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(176,002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16,483</w:t>
            </w:r>
          </w:p>
        </w:tc>
        <w:tc>
          <w:tcPr>
            <w:tcW w:w="116" w:type="dxa"/>
            <w:tcBorders/>
            <w:shd w:fill="CCEEFF" w:val="clear"/>
            <w:vAlign w:val="center"/>
          </w:tcPr>
          <w:p>
            <w:pPr>
              <w:pStyle w:val="TableContents"/>
              <w:bidi w:val="0"/>
              <w:spacing w:before="0" w:after="283"/>
              <w:jc w:val="left"/>
              <w:rPr/>
            </w:pPr>
            <w:r>
              <w:rPr/>
              <w:t> </w:t>
            </w:r>
          </w:p>
        </w:tc>
      </w:tr>
      <w:tr>
        <w:trPr/>
        <w:tc>
          <w:tcPr>
            <w:tcW w:w="7812"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b/>
              </w:rPr>
            </w:pPr>
            <w:r>
              <w:rPr>
                <w:b/>
              </w:rPr>
              <w:t>(252,208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b/>
              </w:rPr>
            </w:pPr>
            <w:r>
              <w:rPr>
                <w:b/>
              </w:rPr>
              <w:t>(313,440</w:t>
            </w:r>
          </w:p>
        </w:tc>
        <w:tc>
          <w:tcPr>
            <w:tcW w:w="116" w:type="dxa"/>
            <w:tcBorders/>
            <w:shd w:fill="FFFFFF" w:val="clear"/>
            <w:vAlign w:val="center"/>
          </w:tcPr>
          <w:p>
            <w:pPr>
              <w:pStyle w:val="TableContents"/>
              <w:bidi w:val="0"/>
              <w:spacing w:before="0" w:after="283"/>
              <w:jc w:val="left"/>
              <w:rPr>
                <w:b/>
              </w:rPr>
            </w:pPr>
            <w:r>
              <w:rPr>
                <w:b/>
              </w:rPr>
              <w:t>)</w:t>
            </w:r>
          </w:p>
        </w:tc>
      </w:tr>
      <w:tr>
        <w:trPr/>
        <w:tc>
          <w:tcPr>
            <w:tcW w:w="78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7812"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Purchases of fixed assets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(6,938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r>
      <w:tr>
        <w:trPr/>
        <w:tc>
          <w:tcPr>
            <w:tcW w:w="7812"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b/>
              </w:rPr>
            </w:pPr>
            <w:r>
              <w:rPr>
                <w:b/>
              </w:rPr>
              <w:t>(6,938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7812"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Proceeds from convertible notes payable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250,000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300,000</w:t>
            </w:r>
          </w:p>
        </w:tc>
        <w:tc>
          <w:tcPr>
            <w:tcW w:w="116" w:type="dxa"/>
            <w:tcBorders/>
            <w:shd w:fill="CCEEFF" w:val="clear"/>
            <w:vAlign w:val="center"/>
          </w:tcPr>
          <w:p>
            <w:pPr>
              <w:pStyle w:val="TableContents"/>
              <w:bidi w:val="0"/>
              <w:spacing w:before="0" w:after="283"/>
              <w:jc w:val="left"/>
              <w:rPr/>
            </w:pPr>
            <w:r>
              <w:rPr/>
              <w:t> </w:t>
            </w:r>
          </w:p>
        </w:tc>
      </w:tr>
      <w:tr>
        <w:trPr/>
        <w:tc>
          <w:tcPr>
            <w:tcW w:w="7812" w:type="dxa"/>
            <w:tcBorders/>
            <w:shd w:fill="FFFFFF" w:val="clear"/>
            <w:vAlign w:val="center"/>
          </w:tcPr>
          <w:p>
            <w:pPr>
              <w:pStyle w:val="TableContents"/>
              <w:bidi w:val="0"/>
              <w:spacing w:before="0" w:after="283"/>
              <w:jc w:val="left"/>
              <w:rPr/>
            </w:pPr>
            <w:r>
              <w:rPr/>
              <w:t>Proceeds from loan payable</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315,000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300,000</w:t>
            </w:r>
          </w:p>
        </w:tc>
        <w:tc>
          <w:tcPr>
            <w:tcW w:w="116" w:type="dxa"/>
            <w:tcBorders/>
            <w:shd w:fill="CCEEFF" w:val="clear"/>
            <w:vAlign w:val="center"/>
          </w:tcPr>
          <w:p>
            <w:pPr>
              <w:pStyle w:val="TableContents"/>
              <w:bidi w:val="0"/>
              <w:spacing w:before="0" w:after="283"/>
              <w:jc w:val="left"/>
              <w:rPr/>
            </w:pPr>
            <w:r>
              <w:rPr/>
              <w:t> </w:t>
            </w:r>
          </w:p>
        </w:tc>
      </w:tr>
      <w:tr>
        <w:trPr/>
        <w:tc>
          <w:tcPr>
            <w:tcW w:w="78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b/>
              </w:rPr>
            </w:pPr>
            <w:r>
              <w:rPr>
                <w:b/>
              </w:rPr>
              <w:t>Net increase (decrease) in cash</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55,854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b/>
              </w:rPr>
            </w:pPr>
            <w:r>
              <w:rPr>
                <w:b/>
              </w:rPr>
              <w:t>(13,440</w:t>
            </w:r>
          </w:p>
        </w:tc>
        <w:tc>
          <w:tcPr>
            <w:tcW w:w="116" w:type="dxa"/>
            <w:tcBorders/>
            <w:shd w:fill="CCEEFF" w:val="clear"/>
            <w:vAlign w:val="center"/>
          </w:tcPr>
          <w:p>
            <w:pPr>
              <w:pStyle w:val="TableContents"/>
              <w:bidi w:val="0"/>
              <w:spacing w:before="0" w:after="283"/>
              <w:jc w:val="left"/>
              <w:rPr>
                <w:b/>
              </w:rPr>
            </w:pPr>
            <w:r>
              <w:rPr>
                <w:b/>
              </w:rPr>
              <w:t>)</w:t>
            </w:r>
          </w:p>
        </w:tc>
      </w:tr>
      <w:tr>
        <w:trPr/>
        <w:tc>
          <w:tcPr>
            <w:tcW w:w="7812" w:type="dxa"/>
            <w:tcBorders/>
            <w:shd w:fill="FFFFFF" w:val="clear"/>
            <w:vAlign w:val="center"/>
          </w:tcPr>
          <w:p>
            <w:pPr>
              <w:pStyle w:val="TableContents"/>
              <w:bidi w:val="0"/>
              <w:spacing w:before="0" w:after="283"/>
              <w:jc w:val="left"/>
              <w:rPr>
                <w:b/>
              </w:rPr>
            </w:pPr>
            <w:r>
              <w:rPr>
                <w:b/>
              </w:rPr>
              <w:t>Cash and cash equivalents at beginning of the year</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56,836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70,276</w:t>
            </w:r>
          </w:p>
        </w:tc>
        <w:tc>
          <w:tcPr>
            <w:tcW w:w="116" w:type="dxa"/>
            <w:tcBorders/>
            <w:shd w:fill="FFFFFF" w:val="clear"/>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b/>
              </w:rPr>
            </w:pPr>
            <w:r>
              <w:rPr>
                <w:b/>
              </w:rPr>
              <w:t>Cash and cash equivalents at end of the year</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112,690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56,836</w:t>
            </w:r>
          </w:p>
        </w:tc>
        <w:tc>
          <w:tcPr>
            <w:tcW w:w="116" w:type="dxa"/>
            <w:tcBorders/>
            <w:shd w:fill="CCEEFF" w:val="clear"/>
            <w:vAlign w:val="center"/>
          </w:tcPr>
          <w:p>
            <w:pPr>
              <w:pStyle w:val="TableContents"/>
              <w:bidi w:val="0"/>
              <w:spacing w:before="0" w:after="283"/>
              <w:jc w:val="left"/>
              <w:rPr/>
            </w:pPr>
            <w:r>
              <w:rPr/>
              <w:t> </w:t>
            </w:r>
          </w:p>
        </w:tc>
      </w:tr>
      <w:tr>
        <w:trPr/>
        <w:tc>
          <w:tcPr>
            <w:tcW w:w="78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b/>
              </w:rPr>
            </w:pPr>
            <w:r>
              <w:rPr>
                <w:b/>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7812" w:type="dxa"/>
            <w:tcBorders/>
            <w:shd w:fill="FFFFFF" w:val="clear"/>
            <w:vAlign w:val="center"/>
          </w:tcPr>
          <w:p>
            <w:pPr>
              <w:pStyle w:val="TableContents"/>
              <w:bidi w:val="0"/>
              <w:spacing w:before="0" w:after="283"/>
              <w:jc w:val="left"/>
              <w:rPr/>
            </w:pPr>
            <w:r>
              <w:rPr/>
              <w:t>Discounts on note payable to founder</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jc w:val="right"/>
              <w:rPr/>
            </w:pPr>
            <w:r>
              <w:rPr/>
              <w:t>12,694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jc w:val="right"/>
              <w:rPr/>
            </w:pPr>
            <w:r>
              <w:rPr/>
              <w:t>34,692</w:t>
            </w:r>
          </w:p>
        </w:tc>
        <w:tc>
          <w:tcPr>
            <w:tcW w:w="116" w:type="dxa"/>
            <w:tcBorders/>
            <w:shd w:fill="FFFFFF" w:val="clear"/>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7812" w:type="dxa"/>
            <w:tcBorders/>
            <w:shd w:fill="FFFFFF" w:val="clear"/>
            <w:vAlign w:val="center"/>
          </w:tcPr>
          <w:p>
            <w:pPr>
              <w:pStyle w:val="TableContents"/>
              <w:bidi w:val="0"/>
              <w:spacing w:before="0" w:after="283"/>
              <w:jc w:val="left"/>
              <w:rPr>
                <w:b/>
              </w:rPr>
            </w:pPr>
            <w:r>
              <w:rPr>
                <w:b/>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r>
      <w:tr>
        <w:trPr/>
        <w:tc>
          <w:tcPr>
            <w:tcW w:w="7812" w:type="dxa"/>
            <w:tcBorders/>
            <w:shd w:fill="FFFFFF" w:val="clear"/>
            <w:vAlign w:val="center"/>
          </w:tcPr>
          <w:p>
            <w:pPr>
              <w:pStyle w:val="TableContents"/>
              <w:bidi w:val="0"/>
              <w:spacing w:before="0" w:after="283"/>
              <w:jc w:val="left"/>
              <w:rPr/>
            </w:pPr>
            <w:r>
              <w:rPr/>
              <w:t>Cash paid for taxes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jc w:val="right"/>
              <w:rPr/>
            </w:pPr>
            <w:r>
              <w:rPr/>
              <w:t>1,456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jc w:val="right"/>
              <w:rPr/>
            </w:pPr>
            <w:r>
              <w:rPr/>
              <w:t>1,456</w:t>
            </w:r>
          </w:p>
        </w:tc>
        <w:tc>
          <w:tcPr>
            <w:tcW w:w="11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 xml:space="preserve">NOTES TO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 </w:t>
      </w:r>
      <w:r>
        <w:rPr>
          <w:rFonts w:ascii="Times New Roman;Times;Serif" w:hAnsi="Times New Roman;Times;Serif"/>
          <w:b/>
          <w:i w:val="false"/>
          <w:caps/>
          <w:sz w:val="20"/>
        </w:rPr>
        <w:t>— ORGANIZATION AND PRINCIPAL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Biosciences Corp. (“DiamiR” or the “Company”) is a molecular diagnostic company focused on developing noninvasive tests for early detection and monitoring of Mild Cognitive Impairment, Alzheimer’s, Parkinson’s, other neurodegenerative diseases, and cancer. The proprietary technology developed at the Company is based on quantitative analysis of circulating organ-enriched microRNAs in plasma. Short-term objectives of the Company include the development of Lab-Developed tests (LDTs) under CLIA guidelines based on the identified miRNA signatures. The tests will be used for screening, patient stratification, as well as disease and treatment monitoring. The Company’s patent portfolio includes United States patents, issued between 2014 and 2024 and set to expire between 2030 and 2038, and certain foreign counterparts, in seven patent families.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in 2014 and also operates through its wholly-owned subsidiary, DiamiR, LLC, which was incorporated as a limited liability company in Delaware in 2009. In 2014, the Company entered into a Share Exchange Agreement with DiamiR, LLC, pursuant to which the Company acquired 100% of the issued and outstanding units of DiamiR, LLC in a combination of entities under common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Company entered into a definitive merger agreement (the “Merger Agreement”) with Aptorum Group Limited, a publicly traded Cayman Islands company (“Aptorum”). Pursuant to the Merger Agreement, shareholders of the Company would receive shares of the acquirer’s common stock in a share exchange. Accounting for the merger is not complete. Under the Merger Agreement, the Company’s outstanding convertible notes are expected to be converted to shares of common stock. Concurrent with the execution of the Merger Agreement, the companies entered into a management service agreement and a license agreement through the earlier of the closing of the merger or December 31, 2025 under which the Company provides certain development services. In December 2025 and March 2026, respectively, the latest ending date of the management service agreement and license agreement were extended through March 31, 2026 and June 30, 2026. In June 2026, the management service agreement and license agreement were extended through the date of the closing of the Merger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(the “Closing Date”), after obtaining the requisite shareholder approval and satisfying the closing conditions, Aptorum consummated its previously announced merger (the “Closing”) with the Company pursuant to the Merger Agreement. Aptorum was to form a direct, wholly owned subsidiary in the state of Delaware (“Merger Sub”).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Merger Agreement, immediately prior to the Closing on July 20, 2026, Aptorum affected a domestication under Section 388 of the General Corporation Law of the State of Delaware (the “DGCL”) and Section 206 of the Companies Act (as revised) of the Cayman Islands (the “Domestication”), pursuant to which Aptorum transferred by way of continuation to and became a Delaware corporation. On July 20, 2026, immediately following the Domestication, Merger Sub merged with and into DiamiR in accordance with the applicable provisions of the DGCL, with DiamiR continuing as the surviving company and a wholly-owned subsidiary of Aptorum. As part of the Domestication, Aptorum changed its name to Niki BioSolutions, Inc.(“Niki”) and filed Niki’s Certificate of Incorporation with the Delaware Secretary of State, which replaced Aptorum’s memorandum and articles in effect as of such time. See Note 17,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BASIS OF PRESENTATION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(“GAAP”) and include all adjustments necessary for the fair presentation of the Company’s financial position for the periods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operates in one business segment focusing on the development and commercialization of methods for the early detection and monitoring of neurodegenerative diseases. The Company is not organized by market and is managed and operated as one business. A single management team reports to the chief operating decision maker, the Chief Executive Officer, who comprehensively manages the entire business. The Company does not currently operate any separate lines of business or separate business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limited operating history and has incurred a net loss of $659,936 and $743,235 for the years ended May 31, 2026 and 2025, respectively, and had net cash used in operating activities of $252,208 and $313,440 for the years ended May 31, 2026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inception of the Company, the operations of the Company have been funded primarily through capital contributions and loans of its founders as well as grant funding, primarily received through the U.S. Department of Treasury and the National Institutes of Health (“NIH”). Management believes this capital is insufficient to fund the Company’s operations for the next twelve months. Management does not anticipate that the Company’s existing working capital alone will be sufficient to fund its operations through the successful development and commercialization of products. As a result, the Company will need to raise additional capital to fund its operations and continue to conduct activities to support its product development and commercialization activities. Management may raise additional funds by way of a public or private offering or may be awarded additional grants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BASIS OF PRESENTATION</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cannot be certain that additional funding will be available on acceptable terms, or at all. To the extent that the Company raises additional funds by issuing equity securities, the Company’s shareholders may experience significant dilution. Any debt financing, if available, may involve restrictive covenants that impact the Company’s ability to conduct business. If the Company is not able to raise additional capital when required or on acceptable terms, the Company may have to (i) significantly delay, scale back or discontinue the development and/or commercialization of one or more product candidates; (ii) seek collaborators for product candidates at an earlier stage than otherwise would be desirable and on terms that are less favorable than might otherwise be available; or (iii) relinquish or otherwise dispose of rights to technologies, product candidates or products that the Company would otherwise seek to develop or commercialize.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conditions raise substantial doubt about the Company’s ability to continue as a going concern within twelve months after the date these consolidated financial statements are available to be issued. The accompanying consolidated financial statements have been prepared assuming the Company will continue as a going concern, which contemplates, among other things, the realization of assets and satisfaction of liabilities in the normal course of business. The consolidated financial statements do not include any adjustments that might be necessary if the Company is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these consolidated financial statements in accordance with GAAP requires management to make estimates and assumptions that affect the amounts reported in the consolidated financial statements and disclosed in the accompanying notes. Actual results may differ from those estimates and such differences may be material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Principles of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include the accounts of DiamiR Biosciences Corp. and its wholly-owned subsidiary, DiamiR, LLC (collectively referred to as the “Company”). There are no material intercompany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debt instruments with a maturity of three months or less when purchased to be cash equivalents. The Company had no cash equivalents as of May 31, 2026 and May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are considered related to the Company if the parties that,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 The Company discloses all related party transactions. All transactions are recorded at fair value of the goods or services exchanged. See Note 8, Convertible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expenses the cost of research and development as incurred. Research and development expenses comprise costs incurred in performing research and development activities, including clinical study costs, contracted services, and other external costs. Nonrefundable advance payments for goods and services that will be used in future research and development activities are expensed when the activity is performed or when the goods have been received, rather than when payment is made, in accordance with Financial Accounting Standards Board (“FASB”) Accounting Standards Codification (“ASC”) Topic 730, </w:t>
      </w:r>
      <w:r>
        <w:rPr>
          <w:rFonts w:ascii="Times New Roman;Times;Serif" w:hAnsi="Times New Roman;Times;Serif"/>
          <w:b w:val="false"/>
          <w:i/>
          <w:caps w:val="false"/>
          <w:smallCaps w:val="false"/>
          <w:sz w:val="20"/>
        </w:rPr>
        <w:t>Research and Development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and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is carried at cost and depreciated on a straight-line basis over the estimated useful lives of the assets. The cost of repairs and maintenance is expensed as incurred; major replacements and improvements are capitalized. When assets are retired or disposed of, the cost and accumulated depreciation are removed from the accounts, and any resulting gains or losses are included in income in the year of disposition. The Company examines the possibility of decreases in the value of fixed assets when events or changes in circumstances reflect the fact that their recorded value may not be recoverable.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3 —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for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deferred tax liabilities and assets for the expected future tax consequences of events that have been included in the financial statements or tax returns. Deferred tax liabilities and assets are determined based on the difference between the financial statement basis and tax basis of assets and liabilities using enacted tax rates in effect for the year in which the differences are expected to reverse. The Company estimates the degree to which tax assets and credit carryforwards will result in a benefit based on expected profitability by tax jurisdiction. A valuation allowance for such tax assets and loss carryforwards is provided when it is determined to be more likely than not that the benefit of such deferred tax asset will not be realized in future periods. Tax benefits of operating loss carryforwards are evaluated on an ongoing basis, including a review of historical and projected future operating results, the eligible carryforward period, and other circumstances. If it becomes more likely than not that a tax asset will be used, the related valuation allowance on such assets would be reduced.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FASB issued ASU 2023-09, Improvements to Income Tax Disclosures, which applies to all entities subject to income taxes. The standard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For public business entities (PBEs), the new requirements will be effective for annual periods beginning after December 15, 2024. The Company has adopted ASU 2023-09 “Income Taxes (Topic 740): Improvements to Income Tax Disclosures” on a prospective basis for the year ended May 31, 2026. The enactment had minimal impact on the income tax disclosures.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ASC 820, </w:t>
      </w:r>
      <w:r>
        <w:rPr>
          <w:rFonts w:ascii="Times New Roman;Times;Serif" w:hAnsi="Times New Roman;Times;Serif"/>
          <w:b w:val="false"/>
          <w:i/>
          <w:caps w:val="false"/>
          <w:smallCaps w:val="false"/>
          <w:sz w:val="20"/>
        </w:rPr>
        <w:t>Fair Value Measurement and Disclosures</w:t>
      </w:r>
      <w:r>
        <w:rPr>
          <w:rFonts w:ascii="Times New Roman;Times;Serif" w:hAnsi="Times New Roman;Times;Serif"/>
          <w:b w:val="false"/>
          <w:i w:val="false"/>
          <w:caps w:val="false"/>
          <w:smallCaps w:val="false"/>
          <w:sz w:val="20"/>
        </w:rPr>
        <w:t>, requires all entities to disclose the fair value of financial instruments, both assets and liabilities for which it is practicable to estimate fair value, and defines fair value of a financial instrument as the amount at which the instrument could be exchanged in a current transaction between willing parties. As of May 31, 2026 and 2025, the recorded values of cash, accounts receivable, accounts payable and accrued expenses, and convertible note payable to founder approximate the fair values due to the short-term nature of the instruments. See Note 8, Convertible Notes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the fair value of financial and non-financial assets using the highest level inputs available in the fair value hierarchy, which establishes three levels of inputs that may be used to measure fair value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704"/>
        <w:gridCol w:w="9426"/>
      </w:tblGrid>
      <w:tr>
        <w:trPr/>
        <w:tc>
          <w:tcPr>
            <w:tcW w:w="7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w:t>
            </w:r>
          </w:p>
        </w:tc>
        <w:tc>
          <w:tcPr>
            <w:tcW w:w="94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Inputs that reflect unadjusted quoted prices in active markets that are accessible for identical assets or liabilities;</w:t>
            </w:r>
          </w:p>
        </w:tc>
      </w:tr>
      <w:tr>
        <w:trPr/>
        <w:tc>
          <w:tcPr>
            <w:tcW w:w="7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both"/>
              <w:rPr/>
            </w:pPr>
            <w:r>
              <w:rPr/>
              <w:t> </w:t>
            </w:r>
          </w:p>
        </w:tc>
        <w:tc>
          <w:tcPr>
            <w:tcW w:w="94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Level 2: </w:t>
            </w:r>
          </w:p>
        </w:tc>
        <w:tc>
          <w:tcPr>
            <w:tcW w:w="94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Inputs include quoted prices for similar assets and liabilities in active or inactive markets or that are observable for the asset or liability either directly or indirectly; and</w:t>
            </w:r>
          </w:p>
        </w:tc>
      </w:tr>
      <w:tr>
        <w:trPr/>
        <w:tc>
          <w:tcPr>
            <w:tcW w:w="7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both"/>
              <w:rPr/>
            </w:pPr>
            <w:r>
              <w:rPr/>
              <w:t> </w:t>
            </w:r>
          </w:p>
        </w:tc>
        <w:tc>
          <w:tcPr>
            <w:tcW w:w="94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w:t>
            </w:r>
          </w:p>
        </w:tc>
        <w:tc>
          <w:tcPr>
            <w:tcW w:w="94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Unobservable inputs that are supported by little or no market activity.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the Company has made certain fair value estimates that are not recurring, generally related to share values and expected volatility, compensation expense and interest expense. Such estimates involve management’s review of available information of comparable companies and are therefore, generally non-observable Level 3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Concentrations of Credit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accounts receivable potentially subject the Company to concentration of credit risk. Cash and cash equivalents are held at U.S. FDIC-insured financial institutions and the amounts on deposit are sometimes above the FDIC insured limits of up to $250,000 per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acquired intangible assets based on fair value on the date of acquisition. Finite-lived intangible assets are recorded at cost and amortized on a straight-line basis over the estimated lives of the assets. Indefinite-lived intangible assets are not subject to amortization.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3 —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of Long-lived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impairment of asset groups, including intangible assets, when events or changes in circumstances indicate that their carrying amount may not be recoverable. Long-lived assets consist of property and equipment, net, right of use assets and other intangible assets, net. Circumstances which could trigger a review include, but are not limited to: (i) changes in Company plans; (ii) competition; (iii) significant adverse changes in the business climate or legal or regulatory factors; (iv) or, expectations that the asset will more likely than not be sold or disposed of significantly before the end of its estimated useful life. If the estimated future undiscounted cash flows, excluding interest charges, from the use of an asset are less than its carrying value, a write-down would be recorded to reduce the related asset to its estimated fair value. The Company recorded no impairment charges in the years ended May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Patent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experience or historical data to support a probable future economic benefit for the arising patent application, filing and prosecution costs. Therefore, patent costs were expensed as a general and administrative expense as incurred. Should the Company experience a legal cost to defend the patent in the future, that cost would be capitalized only when it is part of the cost of retaining and obtaining the future economic benefit of the patent. Costs related to an unsuccessful outcome would be expensed.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Grant revenue – Government Assistance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May 31, 2025, the Company’s primary source of revenue was grant revenue from non-customers. The Company applied the provisions of ASC Topic 958, Not-For-Profit Entities, applicable to contributions received and recognizes grant revenue as qualified expenses are incurred. In the nine months ended February 28, 2025, all grant revenue was received from the National Institutes of Health (“NIH”). As of May 31, 2025, the Company had used all funding available under the grants.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NIH grants, the Company received funds monthly on a cost-reimbursement basis for agreed-upon direct and indirect costs for specific research and development activities, together with a specified fee. Allowable direct costs included personnel costs, fees for laboratory and other contract services and supplies, among others.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responsible for performing research and development activities but was not required to achieve any specified identified results. Accordingly, these grants did not contain general payback provisions. However, the Company’s performance, costs and compliance are subject to periodic review and audit and the Company may be required to repay funds already received in the event of noncompliance. Grant-years ending after May 31, 2024 remained subject to review as of May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from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from customers in accordance with FASB Topic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(“ASC 606”). Under ASC 606, the Company recognizes revenue when (or as) customers obtain control of promised goods or services, in an amount that reflects the consideration which is expected to be received in exchange for those goods or services. The Company recognizes revenue following the five-step model prescribed under ASC 606: (i) identify contract(s) with a customer; (ii) identify the performance obligation(s) in the contract; (iii) determine the transaction price; (iv) allocate the transaction price to the performance obligation(s) in the contract; and (v) recognize revenues when (or as) the Company satisfies a performance obligation. The Company applies the provisions of ASC 606 to an arrangement when a substantive contract exists and collectability is probable.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3 —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deferred revenue represents amounts invoiced in excess of revenue earned and relates to fees for the Company’s laboratory testing services. The deferred revenue is expected to be recognized as revenue within a year, as samples are tested in accordance with customer specifications. There is no variable consideration. Customer acquisition costs are not significant.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and deferred revenues related to contracts with customers consist of the following as of May 31, 2026 and May 31, 2025:</w:t>
      </w:r>
    </w:p>
    <w:p>
      <w:pPr>
        <w:pStyle w:val="TextBody"/>
        <w:bidi w:val="0"/>
        <w:spacing w:before="0" w:after="0"/>
        <w:ind w:left="0" w:right="0" w:firstLine="360"/>
        <w:jc w:val="both"/>
        <w:rPr>
          <w:caps w:val="false"/>
          <w:smallCaps w:val="false"/>
        </w:rPr>
      </w:pPr>
      <w:r>
        <w:rPr>
          <w:caps w:val="false"/>
          <w:smallCaps w:val="false"/>
        </w:rPr>
        <w:t> </w:t>
      </w:r>
    </w:p>
    <w:tbl>
      <w:tblPr>
        <w:tblW w:w="6614" w:type="dxa"/>
        <w:jc w:val="left"/>
        <w:tblInd w:w="0" w:type="dxa"/>
        <w:tblLayout w:type="fixed"/>
        <w:tblCellMar>
          <w:top w:w="0" w:type="dxa"/>
          <w:left w:w="0" w:type="dxa"/>
          <w:bottom w:w="0" w:type="dxa"/>
          <w:right w:w="0" w:type="dxa"/>
        </w:tblCellMar>
      </w:tblPr>
      <w:tblGrid>
        <w:gridCol w:w="2510"/>
        <w:gridCol w:w="60"/>
        <w:gridCol w:w="159"/>
        <w:gridCol w:w="776"/>
        <w:gridCol w:w="60"/>
        <w:gridCol w:w="60"/>
        <w:gridCol w:w="151"/>
        <w:gridCol w:w="739"/>
        <w:gridCol w:w="60"/>
        <w:gridCol w:w="60"/>
        <w:gridCol w:w="140"/>
        <w:gridCol w:w="680"/>
        <w:gridCol w:w="60"/>
        <w:gridCol w:w="60"/>
        <w:gridCol w:w="164"/>
        <w:gridCol w:w="800"/>
        <w:gridCol w:w="75"/>
      </w:tblGrid>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Contract 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 w:type="dxa"/>
            <w:gridSpan w:val="2"/>
            <w:tcBorders/>
            <w:vAlign w:val="center"/>
          </w:tcPr>
          <w:p>
            <w:pPr>
              <w:pStyle w:val="TableContents"/>
              <w:bidi w:val="0"/>
              <w:spacing w:before="0" w:after="283"/>
              <w:jc w:val="center"/>
              <w:rPr>
                <w:b/>
              </w:rPr>
            </w:pPr>
            <w:r>
              <w:rPr>
                <w:b/>
              </w:rPr>
              <w:t>Contract</w:t>
              <w:br/>
              <w:t xml:space="preserve">liabilities </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w:t>
              <w:br/>
              <w:t>costs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Unbilled</w:t>
              <w:br/>
              <w:t>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Deferred</w:t>
              <w:br/>
              <w:t>revenue</w:t>
            </w:r>
          </w:p>
        </w:tc>
        <w:tc>
          <w:tcPr>
            <w:tcW w:w="75" w:type="dxa"/>
            <w:tcBorders/>
            <w:vAlign w:val="center"/>
          </w:tcPr>
          <w:p>
            <w:pPr>
              <w:pStyle w:val="TableContents"/>
              <w:bidi w:val="0"/>
              <w:spacing w:before="0" w:after="283"/>
              <w:ind w:left="0" w:right="0" w:hanging="200"/>
              <w:jc w:val="left"/>
              <w:rPr/>
            </w:pPr>
            <w:r>
              <w:rPr/>
              <w:t> </w:t>
            </w:r>
          </w:p>
        </w:tc>
      </w:tr>
      <w:tr>
        <w:trPr/>
        <w:tc>
          <w:tcPr>
            <w:tcW w:w="2510" w:type="dxa"/>
            <w:tcBorders/>
            <w:shd w:fill="CCEEFF" w:val="clear"/>
            <w:vAlign w:val="center"/>
          </w:tcPr>
          <w:p>
            <w:pPr>
              <w:pStyle w:val="TableContents"/>
              <w:bidi w:val="0"/>
              <w:spacing w:before="0" w:after="283"/>
              <w:jc w:val="left"/>
              <w:rPr/>
            </w:pPr>
            <w:r>
              <w:rPr/>
              <w:t>May 31, 2024</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7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510" w:type="dxa"/>
            <w:tcBorders/>
            <w:shd w:fill="FFFFFF" w:val="clear"/>
            <w:vAlign w:val="center"/>
          </w:tcPr>
          <w:p>
            <w:pPr>
              <w:pStyle w:val="TableContents"/>
              <w:bidi w:val="0"/>
              <w:spacing w:before="0" w:after="283"/>
              <w:jc w:val="left"/>
              <w:rPr/>
            </w:pPr>
            <w:r>
              <w:rPr/>
              <w:t>Net change due to billings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43,982</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510" w:type="dxa"/>
            <w:tcBorders/>
            <w:shd w:fill="CCEEFF" w:val="clear"/>
            <w:vAlign w:val="center"/>
          </w:tcPr>
          <w:p>
            <w:pPr>
              <w:pStyle w:val="TableContents"/>
              <w:bidi w:val="0"/>
              <w:spacing w:before="0" w:after="283"/>
              <w:jc w:val="left"/>
              <w:rPr/>
            </w:pPr>
            <w:r>
              <w:rPr/>
              <w:t>Revenue recognized</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510" w:type="dxa"/>
            <w:tcBorders/>
            <w:shd w:fill="FFFFFF" w:val="clear"/>
            <w:vAlign w:val="center"/>
          </w:tcPr>
          <w:p>
            <w:pPr>
              <w:pStyle w:val="TableContents"/>
              <w:bidi w:val="0"/>
              <w:spacing w:before="0" w:after="283"/>
              <w:jc w:val="left"/>
              <w:rPr/>
            </w:pPr>
            <w:r>
              <w:rPr/>
              <w:t>May 31, 2025</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43,982</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510" w:type="dxa"/>
            <w:tcBorders/>
            <w:shd w:fill="CCEEFF" w:val="clear"/>
            <w:vAlign w:val="center"/>
          </w:tcPr>
          <w:p>
            <w:pPr>
              <w:pStyle w:val="TableContents"/>
              <w:bidi w:val="0"/>
              <w:spacing w:before="0" w:after="283"/>
              <w:jc w:val="left"/>
              <w:rPr/>
            </w:pPr>
            <w:r>
              <w:rPr/>
              <w:t>Net change due to billings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11,468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86,373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86,373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10,000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510" w:type="dxa"/>
            <w:tcBorders/>
            <w:shd w:fill="FFFFFF" w:val="clear"/>
            <w:vAlign w:val="center"/>
          </w:tcPr>
          <w:p>
            <w:pPr>
              <w:pStyle w:val="TableContents"/>
              <w:bidi w:val="0"/>
              <w:spacing w:before="0" w:after="283"/>
              <w:jc w:val="left"/>
              <w:rPr/>
            </w:pPr>
            <w:r>
              <w:rPr/>
              <w:t>Revenue recognized</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9" w:type="dxa"/>
            <w:tcBorders>
              <w:bottom w:val="single" w:sz="12" w:space="0" w:color="000000"/>
            </w:tcBorders>
            <w:shd w:fill="FFFFFF" w:val="clear"/>
            <w:tcMar>
              <w:bottom w:w="28" w:type="dxa"/>
            </w:tcMar>
            <w:vAlign w:val="center"/>
          </w:tcPr>
          <w:p>
            <w:pPr>
              <w:pStyle w:val="TableContents"/>
              <w:bidi w:val="0"/>
              <w:spacing w:before="0" w:after="283"/>
              <w:jc w:val="right"/>
              <w:rPr/>
            </w:pPr>
            <w:r>
              <w:rPr/>
              <w:t>86,373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86,373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43,982</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510" w:type="dxa"/>
            <w:tcBorders/>
            <w:shd w:fill="CCEEFF" w:val="clear"/>
            <w:vAlign w:val="center"/>
          </w:tcPr>
          <w:p>
            <w:pPr>
              <w:pStyle w:val="TableContents"/>
              <w:bidi w:val="0"/>
              <w:spacing w:before="0" w:after="283"/>
              <w:jc w:val="left"/>
              <w:rPr/>
            </w:pPr>
            <w:r>
              <w:rPr/>
              <w:t>May 31, 2026</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6" w:type="dxa"/>
            <w:tcBorders>
              <w:bottom w:val="double" w:sz="10" w:space="0" w:color="000000"/>
            </w:tcBorders>
            <w:shd w:fill="CCEEFF" w:val="clear"/>
            <w:tcMar>
              <w:bottom w:w="28" w:type="dxa"/>
            </w:tcMar>
            <w:vAlign w:val="center"/>
          </w:tcPr>
          <w:p>
            <w:pPr>
              <w:pStyle w:val="TableContents"/>
              <w:bidi w:val="0"/>
              <w:spacing w:before="0" w:after="283"/>
              <w:jc w:val="right"/>
              <w:rPr/>
            </w:pPr>
            <w:r>
              <w:rPr/>
              <w:t>11,468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3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years ended May 31, 2026 and 2025, the Company’s other revenue consists of nonrecurring fees earned under a material transfer agreement with a non-customer. The Company recognized other revenue upon shipment of the subject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 ended May 31, 2026, the Company’s other income consists of fees received under a management services agreement with Aptorum. In July 2025, the Company entered into a definitive merger agreement with Aptorum. Concurrent with the execution of the merger agreement, the companies entered into license agreement and a management services agreement under which the Company will provide certain development and management services through the date of the closing of the Merger Agreement. The services provided by the Company under the agreement are employee services that do not vary significantly in nature on a periodic basis and the Company recognizes income in equal monthly amounts. As of May 31, 2026, $212,400 of revenue from the agreements is included in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Based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share-based compensation arrangements with employees and non-employees using a fair value method which requires the recognition of compensation expense for costs related to all share-based payments including share options. The fair value method requires the Company to estimate the fair value of share-based payment awards on the date of grant using an option-pricing model. The Company uses the Black-Scholes option-pricing model to estimate the fair value of options granted that are expensed on a straight-line basis over the requisite service period, which is generally the vesting period. The Company accounts for forfeitures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operating leases under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Accordingly, the Company determines whether a contract is, or contains, a lease at inception. Right-of-use assets represent the Company’s right to use an underlying asset during the lease term, and lease liabilities represent the Company’s obligation to make lease payments arising from the lease. Right-of-use assets and lease liabilities are recognized at lease commencement based upon the estimated present value of unpaid lease payments over the lease term. The Company uses an estimated incremental borrowing rate based on the information available at lease commencement in determining the present value of unpaid lease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3 —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Notes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 and discounts (premiums) related to notes payable are reported as direct deductions (increases) to the outstanding debt and amortized over the term of the debt using the effective interest method as an addition (reduction) to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FASB ASC 280, Segment Reporting (“ASC 280”), establishes standards for reporting information about operating segments. Operating segments are defined as components of an enterprise about which separate financial information is available that is evaluated regularly by the chief operating decision maker, or decision-making group, in deciding how to allocate resources and in assessing performance. The Company performs research and development activities of its own and for others substantially in one location using resources common to internal research activities and revenue-producing services, which have been limited to date. Accordingly, the Company’s chief operating decision maker (“CODM”), the Chief Executive Officer, manages the Company’s business activities as a single operating and reportable segment at the consolidated level using cash flow and EBITDA measures to allocate resources and assess performance. Further, the CODM reviews and utilizes functional expenses (personnel, other research and development, and general and administrative) at the consolidated level to manage the Company’s operations. Other segment items included in consolidated net income are depreciation and amortization, stock based compensation, interest expense and the provision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Accounting Standards Update (“ASU”) No. 2024-03, Income Statement — Reporting Comprehensive Income — Expense Disaggregation Disclosures (Topic 220): Disaggregation of Income Statement Expenses (“ASU 2024-03”). ASU 2024-03 requires additional disclosure of certain amounts included in the expense captions presented on the condensed consolidated statement of operations as well as disclosures about selling expenses. The ASU is effective on a prospective basis, with the option for retrospective application, for annual periods beginning after December 15, 2026 and interim reporting periods beginning after December 15, 2027. Early adoption is permitted for annual financial statements that have not yet been issued. The Company is currently evaluating the impact of ASU 2024-03 on its condensed consolidated financial statements and related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No. 2025-10, Government Grants (Topic 832): Accounting for Government Grants Received by Business Entities (“ASU 2025-10”). ASU 2025-10 requires that a government grant received by a business entity should not be recognized until it is probable that (a) a business entity will comply with the conditions attached to the grant and (b) the grant will be received. The ASU is effective on a prospective basis, with the option for retrospective application, for annual periods beginning after December 15, 2029 and interim reporting periods within those annal periods. The Company is currently evaluating the impact of ASU 2025-10 on its condensed consolidated financial statements and related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No. 2025-05, Financial Instruments - Credit Losses (Topic 326): Measurement of Credit Losses for Accounts Receivable and Contract Assets, which amends ASC 326-202 to provide a practical expedient (for all entities) and an accounting policy election (for all entities, other than public business entities, that elect the practical expedient) related to the estimation of expected credit losses for current accounts receivable and current contract assets that arise from transactions accounted for under ASC 606. Under ASU 2025-05, an entity is required to disclose whether it has elected to use the practical expedient and, if so, whether it has also applied the accounting policy election. An entity that makes the accounting policy election is required to disclose the date through which subsequent cash collections are evaluated. ASU 2025-05 is effective for annual reporting periods beginning after December 15, 2025, and interim reporting periods within those annual reporting periods, with early adoption permitted. The Company is currently evaluating the impact of ASU 2024-03 on its condensed consolidated financial statements and related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Narrow-Scope Improvements This ASU clarifies that the interim reporting requirements in Topic 270 apply to all entities that issue interim financial statements prepared in accordance with U.S. GAAP and consolidates such requirements within Topic 270. The amendments provide a comprehensive list within Topic 270 of required interim disclosures, establish a principle requiring disclosure of events or changes occurring after the end of the most recent annual reporting period that have a material impact on interim results and clarifies the form and content requirements applicable to interim financial statements. The amendments in ASU 2025-11 are effective for the interim reporting periods within annual reporting periods beginning after December 15, 2027, with early adoption permitted. This ASU can be applied either prospectively or retrospectively to any or all prior periods presented in the financial statements. The Company is currently evaluating ASU 2025-11 to determine the impact it may have on our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other recently issued accounting pronouncements that the Company believes might have a material impact on its financial position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CURRENT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31, 2026 and 2025, accounts receivable consist of $212,400 and $0 of management services revenue from Aptorum.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 of the following:</w:t>
      </w:r>
    </w:p>
    <w:p>
      <w:pPr>
        <w:pStyle w:val="TextBody"/>
        <w:bidi w:val="0"/>
        <w:spacing w:before="0" w:after="0"/>
        <w:ind w:left="0" w:right="0" w:firstLine="360"/>
        <w:jc w:val="both"/>
        <w:rPr>
          <w:caps w:val="false"/>
          <w:smallCaps w:val="false"/>
        </w:rPr>
      </w:pPr>
      <w:r>
        <w:rPr>
          <w:caps w:val="false"/>
          <w:smallCaps w:val="false"/>
        </w:rPr>
        <w:t> </w:t>
      </w:r>
    </w:p>
    <w:tbl>
      <w:tblPr>
        <w:tblW w:w="4498" w:type="dxa"/>
        <w:jc w:val="left"/>
        <w:tblInd w:w="0" w:type="dxa"/>
        <w:tblLayout w:type="fixed"/>
        <w:tblCellMar>
          <w:top w:w="0" w:type="dxa"/>
          <w:left w:w="0" w:type="dxa"/>
          <w:bottom w:w="0" w:type="dxa"/>
          <w:right w:w="0" w:type="dxa"/>
        </w:tblCellMar>
      </w:tblPr>
      <w:tblGrid>
        <w:gridCol w:w="2435"/>
        <w:gridCol w:w="60"/>
        <w:gridCol w:w="154"/>
        <w:gridCol w:w="750"/>
        <w:gridCol w:w="60"/>
        <w:gridCol w:w="60"/>
        <w:gridCol w:w="154"/>
        <w:gridCol w:w="750"/>
        <w:gridCol w:w="75"/>
      </w:tblGrid>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May 31,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May 31, </w:t>
              <w:br/>
              <w:t>2025</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Advances to suppliers</w:t>
            </w:r>
          </w:p>
        </w:tc>
        <w:tc>
          <w:tcPr>
            <w:tcW w:w="60" w:type="dxa"/>
            <w:tcBorders/>
            <w:shd w:fill="CCEEFF" w:val="clear"/>
            <w:vAlign w:val="center"/>
          </w:tcPr>
          <w:p>
            <w:pPr>
              <w:pStyle w:val="TableContents"/>
              <w:bidi w:val="0"/>
              <w:spacing w:before="0" w:after="283"/>
              <w:jc w:val="left"/>
              <w:rPr/>
            </w:pPr>
            <w:r>
              <w:rPr/>
              <w:t> </w:t>
            </w:r>
          </w:p>
        </w:tc>
        <w:tc>
          <w:tcPr>
            <w:tcW w:w="904" w:type="dxa"/>
            <w:gridSpan w:val="2"/>
            <w:tcBorders/>
            <w:shd w:fill="CCEEFF" w:val="clear"/>
            <w:vAlign w:val="center"/>
          </w:tcPr>
          <w:p>
            <w:pPr>
              <w:pStyle w:val="TableContents"/>
              <w:bidi w:val="0"/>
              <w:spacing w:before="0" w:after="283"/>
              <w:jc w:val="right"/>
              <w:rPr/>
            </w:pPr>
            <w:r>
              <w:rPr/>
              <w:t>8,692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4" w:type="dxa"/>
            <w:gridSpan w:val="2"/>
            <w:tcBorders/>
            <w:shd w:fill="CCEEFF" w:val="clear"/>
            <w:vAlign w:val="center"/>
          </w:tcPr>
          <w:p>
            <w:pPr>
              <w:pStyle w:val="TableContents"/>
              <w:bidi w:val="0"/>
              <w:spacing w:before="0" w:after="283"/>
              <w:jc w:val="right"/>
              <w:rPr/>
            </w:pPr>
            <w:r>
              <w:rPr/>
              <w:t>45,252</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pPr>
            <w:r>
              <w:rPr/>
              <w:t>Contract costs of revenue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11,468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single" w:sz="12" w:space="0" w:color="000000"/>
            </w:tcBorders>
            <w:shd w:fill="CCEEFF" w:val="clear"/>
            <w:tcMar>
              <w:bottom w:w="28" w:type="dxa"/>
            </w:tcMar>
            <w:vAlign w:val="center"/>
          </w:tcPr>
          <w:p>
            <w:pPr>
              <w:pStyle w:val="TableContents"/>
              <w:bidi w:val="0"/>
              <w:spacing w:before="0" w:after="283"/>
              <w:jc w:val="right"/>
              <w:rPr/>
            </w:pPr>
            <w:r>
              <w:rPr/>
              <w:t>1,397</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0" w:type="dxa"/>
            <w:tcBorders>
              <w:bottom w:val="double" w:sz="10" w:space="0" w:color="000000"/>
            </w:tcBorders>
            <w:shd w:fill="FFFFFF" w:val="clear"/>
            <w:tcMar>
              <w:bottom w:w="28" w:type="dxa"/>
            </w:tcMar>
            <w:vAlign w:val="center"/>
          </w:tcPr>
          <w:p>
            <w:pPr>
              <w:pStyle w:val="TableContents"/>
              <w:bidi w:val="0"/>
              <w:spacing w:before="0" w:after="283"/>
              <w:jc w:val="right"/>
              <w:rPr/>
            </w:pPr>
            <w:r>
              <w:rPr/>
              <w:t>20,160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0" w:type="dxa"/>
            <w:tcBorders>
              <w:bottom w:val="double" w:sz="10" w:space="0" w:color="000000"/>
            </w:tcBorders>
            <w:shd w:fill="FFFFFF" w:val="clear"/>
            <w:tcMar>
              <w:bottom w:w="28" w:type="dxa"/>
            </w:tcMar>
            <w:vAlign w:val="center"/>
          </w:tcPr>
          <w:p>
            <w:pPr>
              <w:pStyle w:val="TableContents"/>
              <w:bidi w:val="0"/>
              <w:spacing w:before="0" w:after="283"/>
              <w:jc w:val="right"/>
              <w:rPr/>
            </w:pPr>
            <w:r>
              <w:rPr/>
              <w:t>46,649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INTANGIBLE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Company’s fiscal year ended May 31, 2021, the Company acquired laboratory assets and operations, including the laboratory’s CLIA certification and its state operating licenses from a provider of molecular diagnostic tests. The Company allocated $197,761 of the total purchase price to the certification and licenses, which it considers indefinite-lived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PROPERTY AND EQUIPMENT,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consists of the following:</w:t>
      </w:r>
    </w:p>
    <w:p>
      <w:pPr>
        <w:pStyle w:val="TextBody"/>
        <w:bidi w:val="0"/>
        <w:spacing w:before="0" w:after="0"/>
        <w:ind w:left="0" w:right="0" w:firstLine="360"/>
        <w:jc w:val="both"/>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2840"/>
        <w:gridCol w:w="60"/>
        <w:gridCol w:w="1100"/>
        <w:gridCol w:w="60"/>
        <w:gridCol w:w="140"/>
        <w:gridCol w:w="800"/>
        <w:gridCol w:w="95"/>
        <w:gridCol w:w="60"/>
        <w:gridCol w:w="140"/>
        <w:gridCol w:w="800"/>
        <w:gridCol w:w="110"/>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Estimated </w:t>
              <w:br/>
              <w:t>Life</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May 31, </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May 31, </w:t>
              <w:br/>
              <w:t>2025</w:t>
            </w:r>
          </w:p>
        </w:tc>
        <w:tc>
          <w:tcPr>
            <w:tcW w:w="11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Laboratory equipment</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5 years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89,575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88,388</w:t>
            </w:r>
          </w:p>
        </w:tc>
        <w:tc>
          <w:tcPr>
            <w:tcW w:w="11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Furniture</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center"/>
              <w:rPr/>
            </w:pPr>
            <w:r>
              <w:rPr/>
              <w:t>7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11,780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11,780</w:t>
            </w:r>
          </w:p>
        </w:tc>
        <w:tc>
          <w:tcPr>
            <w:tcW w:w="11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3 years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5,176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5,176</w:t>
            </w:r>
          </w:p>
        </w:tc>
        <w:tc>
          <w:tcPr>
            <w:tcW w:w="11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Total property and equipment</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106,531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105,344</w:t>
            </w:r>
          </w:p>
        </w:tc>
        <w:tc>
          <w:tcPr>
            <w:tcW w:w="11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Accumulated depreciation</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(96,972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(85,315</w:t>
            </w:r>
          </w:p>
        </w:tc>
        <w:tc>
          <w:tcPr>
            <w:tcW w:w="110" w:type="dxa"/>
            <w:tcBorders/>
            <w:shd w:fill="CCEEFF" w:val="clear"/>
            <w:vAlign w:val="center"/>
          </w:tcPr>
          <w:p>
            <w:pPr>
              <w:pStyle w:val="TableContents"/>
              <w:bidi w:val="0"/>
              <w:spacing w:before="0" w:after="283"/>
              <w:jc w:val="left"/>
              <w:rPr/>
            </w:pPr>
            <w:r>
              <w:rPr/>
              <w:t>)</w:t>
            </w:r>
          </w:p>
        </w:tc>
      </w:tr>
      <w:tr>
        <w:trPr/>
        <w:tc>
          <w:tcPr>
            <w:tcW w:w="284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9,559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20,029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$17,408 and $20,828 for the years ended May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ACCOUNTS PAYABLE AND ACCRUED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 consist of the following:</w:t>
      </w:r>
    </w:p>
    <w:p>
      <w:pPr>
        <w:pStyle w:val="TextBody"/>
        <w:bidi w:val="0"/>
        <w:spacing w:before="0" w:after="0"/>
        <w:ind w:left="0" w:right="0" w:firstLine="360"/>
        <w:jc w:val="both"/>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360"/>
        <w:gridCol w:w="60"/>
        <w:gridCol w:w="140"/>
        <w:gridCol w:w="800"/>
        <w:gridCol w:w="60"/>
        <w:gridCol w:w="60"/>
        <w:gridCol w:w="140"/>
        <w:gridCol w:w="800"/>
        <w:gridCol w:w="75"/>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May 31,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May 31, </w:t>
              <w:br/>
              <w:t>2025</w:t>
            </w:r>
          </w:p>
        </w:tc>
        <w:tc>
          <w:tcPr>
            <w:tcW w:w="75" w:type="dxa"/>
            <w:tcBorders/>
            <w:vAlign w:val="center"/>
          </w:tcPr>
          <w:p>
            <w:pPr>
              <w:pStyle w:val="TableContents"/>
              <w:bidi w:val="0"/>
              <w:spacing w:before="0" w:after="283"/>
              <w:ind w:left="0" w:right="0" w:hanging="200"/>
              <w:jc w:val="left"/>
              <w:rPr/>
            </w:pPr>
            <w:r>
              <w:rPr/>
              <w:t> </w:t>
            </w:r>
          </w:p>
        </w:tc>
      </w:tr>
      <w:tr>
        <w:trPr/>
        <w:tc>
          <w:tcPr>
            <w:tcW w:w="2360" w:type="dxa"/>
            <w:tcBorders/>
            <w:shd w:fill="CCEEFF" w:val="clear"/>
            <w:vAlign w:val="center"/>
          </w:tcPr>
          <w:p>
            <w:pPr>
              <w:pStyle w:val="TableContents"/>
              <w:bidi w:val="0"/>
              <w:spacing w:before="0" w:after="283"/>
              <w:jc w:val="left"/>
              <w:rPr/>
            </w:pPr>
            <w:r>
              <w:rPr/>
              <w:t>Outside services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744,402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220,411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360" w:type="dxa"/>
            <w:tcBorders/>
            <w:shd w:fill="FFFFFF" w:val="clear"/>
            <w:vAlign w:val="center"/>
          </w:tcPr>
          <w:p>
            <w:pPr>
              <w:pStyle w:val="TableContents"/>
              <w:bidi w:val="0"/>
              <w:spacing w:before="0" w:after="283"/>
              <w:jc w:val="left"/>
              <w:rPr/>
            </w:pPr>
            <w:r>
              <w:rPr/>
              <w:t>Employee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15,587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5,884</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36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5,563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36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759,989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231,858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8 </w:t>
      </w:r>
      <w:r>
        <w:rPr>
          <w:rFonts w:ascii="Times New Roman;Times;Serif" w:hAnsi="Times New Roman;Times;Serif"/>
          <w:b/>
          <w:i w:val="false"/>
          <w:caps/>
          <w:sz w:val="20"/>
        </w:rPr>
        <w:t>— CONVERTIBLE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Founders and Other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payable, which are all related party transactions, consist of the following:</w:t>
      </w:r>
    </w:p>
    <w:p>
      <w:pPr>
        <w:pStyle w:val="TextBody"/>
        <w:bidi w:val="0"/>
        <w:spacing w:before="0" w:after="0"/>
        <w:ind w:left="0" w:right="0" w:firstLine="36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2990"/>
        <w:gridCol w:w="60"/>
        <w:gridCol w:w="140"/>
        <w:gridCol w:w="980"/>
        <w:gridCol w:w="60"/>
        <w:gridCol w:w="60"/>
        <w:gridCol w:w="140"/>
        <w:gridCol w:w="800"/>
        <w:gridCol w:w="7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May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May 31, </w:t>
              <w:br/>
              <w:t>2025</w:t>
            </w:r>
          </w:p>
        </w:tc>
        <w:tc>
          <w:tcPr>
            <w:tcW w:w="7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Executive director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1,129,775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872,245</w:t>
            </w:r>
          </w:p>
        </w:tc>
        <w:tc>
          <w:tcPr>
            <w:tcW w:w="7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Former Chief Scientific Officer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85,417</w:t>
            </w:r>
          </w:p>
        </w:tc>
        <w:tc>
          <w:tcPr>
            <w:tcW w:w="7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184,375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1,314,150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957,662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8 </w:t>
      </w:r>
      <w:r>
        <w:rPr>
          <w:rFonts w:ascii="Times New Roman;Times;Serif" w:hAnsi="Times New Roman;Times;Serif"/>
          <w:b/>
          <w:i w:val="false"/>
          <w:caps/>
          <w:sz w:val="20"/>
        </w:rPr>
        <w:t>— CONVERTIBLE NOTES PAYABLE</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 ended May 31, 2025, the Company amended its outstanding convertible note (“Note”) to its executive director to reflect additional borrowings of $300,000 during the year and interest accrued to the date of the amended note. In the year ended May 31, 2026, the Company amended its outstanding convertible note to its executive director to reflect additional borrowings of $150,000 during the period. The Company estimates that the nominal interest rate on the Note is less than rates that may be obtained from third parties. During the year ended May 31, 2026 the Company recorded discounts of $12,694 on the additional borrowing at an estimated effective rate of 9.5%, as an addition to paid-in capital. During the year ended May 31, 2025 the Company recorded discounts of $35,063 on the additional borrowing at an estimated effective rate of 10%, as an addition to paid-in capital. Other terms and conditions of the Note were not affected. The notes are payable in full on December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 ended May 31, 2026, the Company issued a convertible note (“Investor Note”) to an investor in a related-party transaction reflecting borrowings of $100,000 during the period. No payments of principal or interest on the Investor Note are required prior to maturity on December 31, 2026. The notes call for interest at 10% per annum and are convertible at a conversion price of $1.80 per share of Aptorum common stock upon completion of the merger with Aptorum, or upon the Company’s next equity financing involving the Company’s sale of its equity securities to third party investors at a conversion price based on the financing. Upon any conversion, all unpaid principal and accrued unpaid interest on the Investor Note will be exchanged for the Company’s securities at the lowest per unit price for securities sold to third parties in the next equity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 ended May 31, 2026, the convertible note originally issued to the Company’s Chief Scientific Officer was transferred to a third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payments of principal or interest on the notes are required prior to maturity. The notes call for interest at 4% per annum, compounded monthly and are convertible, at the option of the holder, upon the Company’s next equity financing involving the Company’s sale of its equity securities to third party investors. Upon any conversion, all unpaid principal and accrued unpaid interest on the Notes will be exchanged for the Company’s securities at the lowest per unit price for securities sold to third parties in the next equity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Notes are due upon demand at the option of the holder when there is a liquidation event, which shall include: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(i)</w:t>
            </w:r>
          </w:p>
        </w:tc>
        <w:tc>
          <w:tcPr>
            <w:tcW w:w="9977" w:type="dxa"/>
            <w:tcBorders/>
            <w:vAlign w:val="center"/>
          </w:tcPr>
          <w:p>
            <w:pPr>
              <w:pStyle w:val="TableContents"/>
              <w:bidi w:val="0"/>
              <w:spacing w:before="0" w:after="283"/>
              <w:jc w:val="both"/>
              <w:rPr/>
            </w:pPr>
            <w:r>
              <w:rPr/>
              <w:t>The closing of the sale, lease, transfer or other disposition of all or substantially all of the assets of Company or the grant of any exclusive license to any material portion of the Company’s intellectual property;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(ii)</w:t>
            </w:r>
          </w:p>
        </w:tc>
        <w:tc>
          <w:tcPr>
            <w:tcW w:w="9934" w:type="dxa"/>
            <w:tcBorders/>
            <w:vAlign w:val="center"/>
          </w:tcPr>
          <w:p>
            <w:pPr>
              <w:pStyle w:val="TableContents"/>
              <w:bidi w:val="0"/>
              <w:spacing w:before="0" w:after="283"/>
              <w:jc w:val="both"/>
              <w:rPr/>
            </w:pPr>
            <w:r>
              <w:rPr/>
              <w:t>The consummation of the merger or consolidation of the Company with or into another entity (except a merger or consolidation in which the holders of capital stock of the Company immediately prior to such merger or consolidation continue to hold, directly or indirectly, at least fifty percent (50%) of the voting power of the capital stock of the Company or the surviving or acquiring entity);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0"/>
        <w:gridCol w:w="9877"/>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(iii)</w:t>
            </w:r>
          </w:p>
        </w:tc>
        <w:tc>
          <w:tcPr>
            <w:tcW w:w="9877" w:type="dxa"/>
            <w:tcBorders/>
            <w:vAlign w:val="center"/>
          </w:tcPr>
          <w:p>
            <w:pPr>
              <w:pStyle w:val="TableContents"/>
              <w:bidi w:val="0"/>
              <w:spacing w:before="0" w:after="283"/>
              <w:jc w:val="both"/>
              <w:rPr/>
            </w:pPr>
            <w:r>
              <w:rPr/>
              <w:t>The closing of the transfer (whether by merger, consolidation or otherwise), in one transaction or a series of related transactions, to a person or group of affiliated persons (other than an underwriter of the Company’s securities), of the Company’s securities if, after such closing, such person or group of affiliated persons would hold, directly or indirectly, fifty percent (50%) or more of the outstanding voting stock of the Company (or the surviving or acquiring entity);</w:t>
            </w:r>
          </w:p>
        </w:tc>
      </w:tr>
    </w:tbl>
    <w:p>
      <w:pPr>
        <w:pStyle w:val="TextBody"/>
        <w:bidi w:val="0"/>
        <w:spacing w:before="0" w:after="0"/>
        <w:ind w:left="960" w:right="0" w:hanging="480"/>
        <w:jc w:val="both"/>
        <w:rPr>
          <w:caps w:val="false"/>
          <w:smallCaps w:val="false"/>
        </w:rPr>
      </w:pPr>
      <w:r>
        <w:rPr>
          <w:caps w:val="false"/>
          <w:smallCaps w:val="false"/>
        </w:rPr>
        <w:t> </w:t>
      </w:r>
    </w:p>
    <w:tbl>
      <w:tblPr>
        <w:tblW w:w="7893" w:type="dxa"/>
        <w:jc w:val="left"/>
        <w:tblInd w:w="0" w:type="dxa"/>
        <w:tblLayout w:type="fixed"/>
        <w:tblCellMar>
          <w:top w:w="0" w:type="dxa"/>
          <w:left w:w="0" w:type="dxa"/>
          <w:bottom w:w="0" w:type="dxa"/>
          <w:right w:w="0" w:type="dxa"/>
        </w:tblCellMar>
      </w:tblPr>
      <w:tblGrid>
        <w:gridCol w:w="38"/>
        <w:gridCol w:w="35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(iv)</w:t>
            </w:r>
          </w:p>
        </w:tc>
        <w:tc>
          <w:tcPr>
            <w:tcW w:w="7505" w:type="dxa"/>
            <w:tcBorders/>
            <w:vAlign w:val="center"/>
          </w:tcPr>
          <w:p>
            <w:pPr>
              <w:pStyle w:val="TableContents"/>
              <w:bidi w:val="0"/>
              <w:spacing w:before="0" w:after="283"/>
              <w:jc w:val="both"/>
              <w:rPr/>
            </w:pPr>
            <w:r>
              <w:rPr/>
              <w:t>An initial public offering of securities by Company or one of its subsidiaries; or</w:t>
            </w:r>
          </w:p>
        </w:tc>
      </w:tr>
    </w:tbl>
    <w:p>
      <w:pPr>
        <w:pStyle w:val="TextBody"/>
        <w:bidi w:val="0"/>
        <w:spacing w:before="0" w:after="0"/>
        <w:ind w:left="960" w:right="0" w:hanging="480"/>
        <w:jc w:val="both"/>
        <w:rPr>
          <w:caps w:val="false"/>
          <w:smallCaps w:val="false"/>
        </w:rPr>
      </w:pPr>
      <w:r>
        <w:rPr>
          <w:caps w:val="false"/>
          <w:smallCaps w:val="false"/>
        </w:rPr>
        <w:t> </w:t>
      </w:r>
    </w:p>
    <w:tbl>
      <w:tblPr>
        <w:tblW w:w="5793" w:type="dxa"/>
        <w:jc w:val="left"/>
        <w:tblInd w:w="0" w:type="dxa"/>
        <w:tblLayout w:type="fixed"/>
        <w:tblCellMar>
          <w:top w:w="0" w:type="dxa"/>
          <w:left w:w="0" w:type="dxa"/>
          <w:bottom w:w="0" w:type="dxa"/>
          <w:right w:w="0" w:type="dxa"/>
        </w:tblCellMar>
      </w:tblPr>
      <w:tblGrid>
        <w:gridCol w:w="38"/>
        <w:gridCol w:w="29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(v)</w:t>
            </w:r>
          </w:p>
        </w:tc>
        <w:tc>
          <w:tcPr>
            <w:tcW w:w="5465" w:type="dxa"/>
            <w:tcBorders/>
            <w:vAlign w:val="center"/>
          </w:tcPr>
          <w:p>
            <w:pPr>
              <w:pStyle w:val="TableContents"/>
              <w:bidi w:val="0"/>
              <w:spacing w:before="0" w:after="283"/>
              <w:jc w:val="both"/>
              <w:rPr/>
            </w:pPr>
            <w:r>
              <w:rPr/>
              <w:t>A liquidation, dissolution or winding up of the Company.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that the nominal interest rate on the Notes is less than rates that may be obtained from third parties. The Company has recorded discounts on the Notes, calculated at an estimated effective rate of 10%, as an addition to paid-in capital. Unamortized discounts presented as a deduction from the face amount of the Notes amounted to $43,321 and $96,332 as of May 31, 2026 and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17, Subsequent Events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regarding the Company’s definitive merger agreement and the conversion of the convertible notes payable upon closing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consists of the following in the years ended May 31:</w:t>
      </w:r>
    </w:p>
    <w:p>
      <w:pPr>
        <w:pStyle w:val="TextBody"/>
        <w:bidi w:val="0"/>
        <w:spacing w:before="0" w:after="0"/>
        <w:ind w:left="0" w:right="0" w:firstLine="360"/>
        <w:jc w:val="both"/>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2390"/>
        <w:gridCol w:w="60"/>
        <w:gridCol w:w="140"/>
        <w:gridCol w:w="800"/>
        <w:gridCol w:w="60"/>
        <w:gridCol w:w="60"/>
        <w:gridCol w:w="140"/>
        <w:gridCol w:w="680"/>
        <w:gridCol w:w="75"/>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200"/>
              <w:jc w:val="left"/>
              <w:rPr/>
            </w:pPr>
            <w:r>
              <w:rPr/>
              <w:t> </w:t>
            </w:r>
          </w:p>
        </w:tc>
      </w:tr>
      <w:tr>
        <w:trPr/>
        <w:tc>
          <w:tcPr>
            <w:tcW w:w="2390" w:type="dxa"/>
            <w:tcBorders/>
            <w:shd w:fill="CCEEFF" w:val="clear"/>
            <w:vAlign w:val="center"/>
          </w:tcPr>
          <w:p>
            <w:pPr>
              <w:pStyle w:val="TableContents"/>
              <w:bidi w:val="0"/>
              <w:spacing w:before="0" w:after="283"/>
              <w:jc w:val="left"/>
              <w:rPr/>
            </w:pPr>
            <w:r>
              <w:rPr/>
              <w:t>Interest on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53,688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38,508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390" w:type="dxa"/>
            <w:tcBorders/>
            <w:shd w:fill="FFFFFF" w:val="clear"/>
            <w:vAlign w:val="center"/>
          </w:tcPr>
          <w:p>
            <w:pPr>
              <w:pStyle w:val="TableContents"/>
              <w:bidi w:val="0"/>
              <w:spacing w:before="0" w:after="283"/>
              <w:jc w:val="left"/>
              <w:rPr/>
            </w:pPr>
            <w:r>
              <w:rPr/>
              <w:t>Amortization of discount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65,705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43,538</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3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119,393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82,046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LOAN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entered into a loan agreement with Aptorum in which Aptorum loaned DiamiR $65,000 for general corporate purposes. The loan period is for 180 days and the loan bears no interest. DiamiR agreed to repay the loan amount in full to Aptorum on the earlier of the closing of the Merger or the expiration of the loan term.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31, 2023, the Company had a lease for laboratory space with a term of one year and a one-year Company renewal option. The Company renewed the lease on a one-year basis in each of the years ended May 31, 2025 and 2026. The current lease term ends December 31, 2026. The Company intends to extend the lease through December 31, 2027 during September 2026. The Company considers exercise of its renewal options to be probable. Accordingly, it has recorded right of use assets and lease liabilities related to the lease.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agreement does not provide an implicit borrowing rate; therefore, an internal incremental borrowing rate is determined based on information available at lease commencement date for purposes of determining the present value of lease payments and recording lease liabilities. In determining this rate, the Company estimated the rate of interest it would pay on collateralized loans with similar payment terms, in a similar economic environment, by reference to comparable lessee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 and non-cash activity related to leases include the following in the years ended May 31:</w:t>
      </w:r>
    </w:p>
    <w:p>
      <w:pPr>
        <w:pStyle w:val="TextBody"/>
        <w:bidi w:val="0"/>
        <w:spacing w:before="0" w:after="0"/>
        <w:ind w:left="0" w:right="0" w:firstLine="360"/>
        <w:jc w:val="both"/>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4820"/>
        <w:gridCol w:w="60"/>
        <w:gridCol w:w="140"/>
        <w:gridCol w:w="680"/>
        <w:gridCol w:w="60"/>
        <w:gridCol w:w="60"/>
        <w:gridCol w:w="140"/>
        <w:gridCol w:w="680"/>
        <w:gridCol w:w="75"/>
      </w:tblGrid>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283"/>
              <w:jc w:val="left"/>
              <w:rPr/>
            </w:pPr>
            <w:r>
              <w:rPr/>
              <w:t>Cash paid on 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44,062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42,052</w:t>
            </w:r>
          </w:p>
        </w:tc>
        <w:tc>
          <w:tcPr>
            <w:tcW w:w="75"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283"/>
              <w:jc w:val="left"/>
              <w:rPr/>
            </w:pPr>
            <w:r>
              <w:rPr/>
              <w:t>Right of use assets acquired under operating leases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43,837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39,083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terms and assumed discount rates are as follows:</w:t>
      </w:r>
    </w:p>
    <w:p>
      <w:pPr>
        <w:pStyle w:val="TextBody"/>
        <w:bidi w:val="0"/>
        <w:spacing w:before="0" w:after="0"/>
        <w:ind w:left="0" w:right="0" w:firstLine="360"/>
        <w:jc w:val="both"/>
        <w:rPr>
          <w:caps w:val="false"/>
          <w:smallCaps w:val="false"/>
        </w:rPr>
      </w:pPr>
      <w:r>
        <w:rPr>
          <w:caps w:val="false"/>
          <w:smallCaps w:val="false"/>
        </w:rPr>
        <w:t> </w:t>
      </w:r>
    </w:p>
    <w:tbl>
      <w:tblPr>
        <w:tblW w:w="4223" w:type="dxa"/>
        <w:jc w:val="left"/>
        <w:tblInd w:w="0" w:type="dxa"/>
        <w:tblLayout w:type="fixed"/>
        <w:tblCellMar>
          <w:top w:w="0" w:type="dxa"/>
          <w:left w:w="0" w:type="dxa"/>
          <w:bottom w:w="0" w:type="dxa"/>
          <w:right w:w="0" w:type="dxa"/>
        </w:tblCellMar>
      </w:tblPr>
      <w:tblGrid>
        <w:gridCol w:w="1850"/>
        <w:gridCol w:w="60"/>
        <w:gridCol w:w="108"/>
        <w:gridCol w:w="796"/>
        <w:gridCol w:w="215"/>
        <w:gridCol w:w="60"/>
        <w:gridCol w:w="67"/>
        <w:gridCol w:w="837"/>
        <w:gridCol w:w="230"/>
      </w:tblGrid>
      <w:tr>
        <w:trPr/>
        <w:tc>
          <w:tcPr>
            <w:tcW w:w="1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May 31, </w:t>
              <w:b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May 31, </w:t>
              <w:br/>
              <w:t>2025</w:t>
            </w:r>
          </w:p>
        </w:tc>
        <w:tc>
          <w:tcPr>
            <w:tcW w:w="230" w:type="dxa"/>
            <w:tcBorders/>
            <w:vAlign w:val="center"/>
          </w:tcPr>
          <w:p>
            <w:pPr>
              <w:pStyle w:val="TableContents"/>
              <w:bidi w:val="0"/>
              <w:spacing w:before="0" w:after="283"/>
              <w:ind w:left="0" w:right="0" w:hanging="200"/>
              <w:jc w:val="left"/>
              <w:rPr/>
            </w:pPr>
            <w:r>
              <w:rPr/>
              <w:t> </w:t>
            </w:r>
          </w:p>
        </w:tc>
      </w:tr>
      <w:tr>
        <w:trPr/>
        <w:tc>
          <w:tcPr>
            <w:tcW w:w="1850" w:type="dxa"/>
            <w:tcBorders/>
            <w:shd w:fill="CCEEFF" w:val="clear"/>
            <w:vAlign w:val="center"/>
          </w:tcPr>
          <w:p>
            <w:pPr>
              <w:pStyle w:val="TableContents"/>
              <w:bidi w:val="0"/>
              <w:spacing w:before="0" w:after="283"/>
              <w:jc w:val="left"/>
              <w:rPr/>
            </w:pPr>
            <w:r>
              <w:rPr/>
              <w:t>Average lease term</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 years</w:t>
            </w:r>
          </w:p>
        </w:tc>
        <w:tc>
          <w:tcPr>
            <w:tcW w:w="230" w:type="dxa"/>
            <w:tcBorders/>
            <w:shd w:fill="CCEEFF" w:val="clear"/>
            <w:vAlign w:val="center"/>
          </w:tcPr>
          <w:p>
            <w:pPr>
              <w:pStyle w:val="TableContents"/>
              <w:bidi w:val="0"/>
              <w:spacing w:before="0" w:after="283"/>
              <w:ind w:left="0" w:right="0" w:hanging="200"/>
              <w:jc w:val="left"/>
              <w:rPr/>
            </w:pPr>
            <w:r>
              <w:rPr/>
              <w:t> </w:t>
            </w:r>
          </w:p>
        </w:tc>
      </w:tr>
      <w:tr>
        <w:trPr/>
        <w:tc>
          <w:tcPr>
            <w:tcW w:w="1850" w:type="dxa"/>
            <w:tcBorders/>
            <w:shd w:fill="FFFFFF" w:val="clear"/>
            <w:vAlign w:val="center"/>
          </w:tcPr>
          <w:p>
            <w:pPr>
              <w:pStyle w:val="TableContents"/>
              <w:bidi w:val="0"/>
              <w:spacing w:before="0" w:after="283"/>
              <w:jc w:val="left"/>
              <w:rPr/>
            </w:pPr>
            <w:r>
              <w:rPr/>
              <w:t>Discount rate</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8.75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10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Minimum lease payments under leases with terms greater than one year are as follows:</w:t>
      </w:r>
    </w:p>
    <w:p>
      <w:pPr>
        <w:pStyle w:val="TextBody"/>
        <w:bidi w:val="0"/>
        <w:spacing w:before="0" w:after="0"/>
        <w:ind w:left="0" w:right="0" w:firstLine="360"/>
        <w:jc w:val="both"/>
        <w:rPr>
          <w:caps w:val="false"/>
          <w:smallCaps w:val="false"/>
        </w:rPr>
      </w:pPr>
      <w:r>
        <w:rPr>
          <w:caps w:val="false"/>
          <w:smallCaps w:val="false"/>
        </w:rPr>
        <w:t> </w:t>
      </w:r>
    </w:p>
    <w:tbl>
      <w:tblPr>
        <w:tblW w:w="3630" w:type="dxa"/>
        <w:jc w:val="left"/>
        <w:tblInd w:w="0" w:type="dxa"/>
        <w:tblLayout w:type="fixed"/>
        <w:tblCellMar>
          <w:top w:w="0" w:type="dxa"/>
          <w:left w:w="0" w:type="dxa"/>
          <w:bottom w:w="28" w:type="dxa"/>
          <w:right w:w="0" w:type="dxa"/>
        </w:tblCellMar>
      </w:tblPr>
      <w:tblGrid>
        <w:gridCol w:w="2600"/>
        <w:gridCol w:w="60"/>
        <w:gridCol w:w="146"/>
        <w:gridCol w:w="714"/>
        <w:gridCol w:w="110"/>
      </w:tblGrid>
      <w:tr>
        <w:trPr/>
        <w:tc>
          <w:tcPr>
            <w:tcW w:w="2600" w:type="dxa"/>
            <w:tcBorders>
              <w:bottom w:val="single" w:sz="12" w:space="0" w:color="000000"/>
            </w:tcBorders>
            <w:vAlign w:val="center"/>
          </w:tcPr>
          <w:p>
            <w:pPr>
              <w:pStyle w:val="TableContents"/>
              <w:bidi w:val="0"/>
              <w:spacing w:before="0" w:after="283"/>
              <w:jc w:val="left"/>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110" w:type="dxa"/>
            <w:tcBorders/>
            <w:tcMar>
              <w:bottom w:w="0" w:type="dxa"/>
            </w:tcMar>
            <w:vAlign w:val="center"/>
          </w:tcPr>
          <w:p>
            <w:pPr>
              <w:pStyle w:val="TableContents"/>
              <w:bidi w:val="0"/>
              <w:spacing w:before="0" w:after="283"/>
              <w:ind w:left="0" w:right="0" w:hanging="200"/>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pPr>
            <w:r>
              <w:rPr/>
              <w:t>Year ending May 31,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w:t>
            </w:r>
          </w:p>
        </w:tc>
        <w:tc>
          <w:tcPr>
            <w:tcW w:w="714" w:type="dxa"/>
            <w:tcBorders/>
            <w:shd w:fill="CCEEFF" w:val="clear"/>
            <w:tcMar>
              <w:bottom w:w="0" w:type="dxa"/>
            </w:tcMar>
            <w:vAlign w:val="center"/>
          </w:tcPr>
          <w:p>
            <w:pPr>
              <w:pStyle w:val="TableContents"/>
              <w:bidi w:val="0"/>
              <w:spacing w:before="0" w:after="283"/>
              <w:jc w:val="right"/>
              <w:rPr/>
            </w:pPr>
            <w:r>
              <w:rPr/>
              <w:t>40,849</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600" w:type="dxa"/>
            <w:tcBorders/>
            <w:shd w:fill="FFFFFF" w:val="clear"/>
            <w:tcMar>
              <w:bottom w:w="0" w:type="dxa"/>
            </w:tcMar>
            <w:vAlign w:val="center"/>
          </w:tcPr>
          <w:p>
            <w:pPr>
              <w:pStyle w:val="TableContents"/>
              <w:bidi w:val="0"/>
              <w:spacing w:before="0" w:after="283"/>
              <w:jc w:val="left"/>
              <w:rPr/>
            </w:pPr>
            <w:r>
              <w:rPr/>
              <w:t>Year ending May 31, 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FFFFFF" w:val="clear"/>
            <w:vAlign w:val="center"/>
          </w:tcPr>
          <w:p>
            <w:pPr>
              <w:pStyle w:val="TableContents"/>
              <w:bidi w:val="0"/>
              <w:spacing w:before="0" w:after="283"/>
              <w:jc w:val="left"/>
              <w:rPr/>
            </w:pPr>
            <w:r>
              <w:rPr/>
              <w:t> </w:t>
            </w:r>
          </w:p>
        </w:tc>
        <w:tc>
          <w:tcPr>
            <w:tcW w:w="714" w:type="dxa"/>
            <w:tcBorders>
              <w:bottom w:val="single" w:sz="12" w:space="0" w:color="000000"/>
            </w:tcBorders>
            <w:shd w:fill="FFFFFF" w:val="clear"/>
            <w:vAlign w:val="center"/>
          </w:tcPr>
          <w:p>
            <w:pPr>
              <w:pStyle w:val="TableContents"/>
              <w:bidi w:val="0"/>
              <w:spacing w:before="0" w:after="283"/>
              <w:jc w:val="right"/>
              <w:rPr/>
            </w:pPr>
            <w:r>
              <w:rPr/>
              <w:t>26,345</w:t>
            </w:r>
          </w:p>
        </w:tc>
        <w:tc>
          <w:tcPr>
            <w:tcW w:w="110"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714" w:type="dxa"/>
            <w:tcBorders/>
            <w:shd w:fill="CCEEFF" w:val="clear"/>
            <w:tcMar>
              <w:bottom w:w="0" w:type="dxa"/>
            </w:tcMar>
            <w:vAlign w:val="center"/>
          </w:tcPr>
          <w:p>
            <w:pPr>
              <w:pStyle w:val="TableContents"/>
              <w:bidi w:val="0"/>
              <w:spacing w:before="0" w:after="283"/>
              <w:jc w:val="right"/>
              <w:rPr/>
            </w:pPr>
            <w:r>
              <w:rPr/>
              <w:t>67,194</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600" w:type="dxa"/>
            <w:tcBorders/>
            <w:shd w:fill="FFFFFF" w:val="clear"/>
            <w:tcMar>
              <w:bottom w:w="0" w:type="dxa"/>
            </w:tcMar>
            <w:vAlign w:val="center"/>
          </w:tcPr>
          <w:p>
            <w:pPr>
              <w:pStyle w:val="TableContents"/>
              <w:bidi w:val="0"/>
              <w:spacing w:before="0" w:after="283"/>
              <w:jc w:val="left"/>
              <w:rPr/>
            </w:pPr>
            <w:r>
              <w:rPr/>
              <w:t>Less imputed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FFFFFF" w:val="clear"/>
            <w:vAlign w:val="center"/>
          </w:tcPr>
          <w:p>
            <w:pPr>
              <w:pStyle w:val="TableContents"/>
              <w:bidi w:val="0"/>
              <w:spacing w:before="0" w:after="283"/>
              <w:jc w:val="left"/>
              <w:rPr/>
            </w:pPr>
            <w:r>
              <w:rPr/>
              <w:t> </w:t>
            </w:r>
          </w:p>
        </w:tc>
        <w:tc>
          <w:tcPr>
            <w:tcW w:w="714" w:type="dxa"/>
            <w:tcBorders>
              <w:bottom w:val="single" w:sz="12" w:space="0" w:color="000000"/>
            </w:tcBorders>
            <w:shd w:fill="FFFFFF" w:val="clear"/>
            <w:vAlign w:val="center"/>
          </w:tcPr>
          <w:p>
            <w:pPr>
              <w:pStyle w:val="TableContents"/>
              <w:bidi w:val="0"/>
              <w:spacing w:before="0" w:after="283"/>
              <w:jc w:val="right"/>
              <w:rPr/>
            </w:pPr>
            <w:r>
              <w:rPr/>
              <w:t>(4,352</w:t>
            </w:r>
          </w:p>
        </w:tc>
        <w:tc>
          <w:tcPr>
            <w:tcW w:w="11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2600" w:type="dxa"/>
            <w:tcBorders/>
            <w:shd w:fill="CCEEFF" w:val="clear"/>
            <w:tcMar>
              <w:bottom w:w="0" w:type="dxa"/>
            </w:tcMar>
            <w:vAlign w:val="center"/>
          </w:tcPr>
          <w:p>
            <w:pPr>
              <w:pStyle w:val="TableContents"/>
              <w:bidi w:val="0"/>
              <w:spacing w:before="0" w:after="283"/>
              <w:jc w:val="left"/>
              <w:rPr/>
            </w:pPr>
            <w:r>
              <w:rPr/>
              <w:t>Lease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double" w:sz="10" w:space="0" w:color="000000"/>
            </w:tcBorders>
            <w:shd w:fill="CCEEFF" w:val="clear"/>
            <w:vAlign w:val="center"/>
          </w:tcPr>
          <w:p>
            <w:pPr>
              <w:pStyle w:val="TableContents"/>
              <w:bidi w:val="0"/>
              <w:spacing w:before="0" w:after="283"/>
              <w:jc w:val="left"/>
              <w:rPr/>
            </w:pPr>
            <w:r>
              <w:rPr/>
              <w:t>$</w:t>
            </w:r>
          </w:p>
        </w:tc>
        <w:tc>
          <w:tcPr>
            <w:tcW w:w="714" w:type="dxa"/>
            <w:tcBorders>
              <w:bottom w:val="double" w:sz="10" w:space="0" w:color="000000"/>
            </w:tcBorders>
            <w:shd w:fill="CCEEFF" w:val="clear"/>
            <w:vAlign w:val="center"/>
          </w:tcPr>
          <w:p>
            <w:pPr>
              <w:pStyle w:val="TableContents"/>
              <w:bidi w:val="0"/>
              <w:spacing w:before="0" w:after="283"/>
              <w:jc w:val="right"/>
              <w:rPr/>
            </w:pPr>
            <w:r>
              <w:rPr/>
              <w:t>62,842</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leases office space on a monthly basis. Total lease costs were $45,675 and $40,103 in the years ended May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Wainwright Financial Advisory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2025, after the consideration, review, and approval of DiamiR’s Chief Executive Officer,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For illustrative purposes only, since the ultimate warrant will be based on the Combined Company’s closing price and will provide the right to receive shares of the Combined Company’s common stock, based on the closing price of Aptorum’s Class A ordinary shares on December 31, 2025, Wainwright would receive warrants to purchase up to 247,525 shares of the Combined Company’s common stock. In the event that DiamiR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as described in the immediately preceding sentence (and, if previously issued, a number of warrants equal to $250,000 shall be cancelled). In addition, Wainwright shall receive reimbursement of reasonable out-of-pocket expenses, including legal fees and expenses, incurred by Wainwright in connection with financial advisory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11 — COMMITMENTS AND CONTINGENCIES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involved in any legal matters arising in the normal course of business. While incapable of estimation, in the opinion of the management, the individual regulatory and legal matters in which it might involve in the future are not expected to have a material adverse effect on the Company’s financial position,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12 </w:t>
      </w:r>
      <w:r>
        <w:rPr>
          <w:rFonts w:ascii="Times New Roman;Times;Serif" w:hAnsi="Times New Roman;Times;Serif"/>
          <w:b/>
          <w:i w:val="false"/>
          <w:caps/>
          <w:sz w:val="20"/>
        </w:rPr>
        <w:t>— STOCKHOLDERS’ EQUITY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capitalized by its two founders with a cash contribution by one of its founders of $250,000 for 2,200,000 shares of common stock and a non-cash contribution by the other founder for 2,000,000 shares of common stock. The non-cash contribution consisted of all of the founders’ rights, title, and interest in any intellectual property, proprietary property or other property of a similar nature related to the business to be conducted by the Company involving methods of using small RNA from bodily fluids for diagnosis and monitoring of neurodegenerative diseases.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Founder Contributions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years ended May 31, 2026 and 2025, its founders also made contributions to the Company in the form of below market interest rates on loans and in the form of uncompensated services. the Company recorded discounts on founder notes payable of $12,693 and $34,692 respectively, as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 with the issuance of a note payable settled prior to the year ended May 31, 2024, the Company issued a warrant for 29,336 shares of the Company’s common stock at an exercise price of $5.87 per share. The warrant expired in the year ended May 31, 2025,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 Plans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stock option plans, under which shares are available for issuance of stock-based awards under terms established by the board of directors. Through May 31, 2026, awards under the plans generally consisted of options with exercise prices equal to fair market value, vesting and service conditions of 18 months to three years without market or performance conditions and ten-year lives. As of May 31, 2026, 600,000 shares remain available for future grant under the 2024 Stock Option Plan. The number of shares available under the 2024 Stock Option Plan will increase by 2% per year or such lower number of shares as may be determined by the Company’s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an analysis of the stock option activity under the Plans:</w:t>
      </w:r>
    </w:p>
    <w:p>
      <w:pPr>
        <w:pStyle w:val="TextBody"/>
        <w:bidi w:val="0"/>
        <w:spacing w:before="0" w:after="0"/>
        <w:ind w:left="0" w:right="0" w:firstLine="360"/>
        <w:jc w:val="both"/>
        <w:rPr>
          <w:caps w:val="false"/>
          <w:smallCaps w:val="false"/>
        </w:rPr>
      </w:pPr>
      <w:r>
        <w:rPr>
          <w:caps w:val="false"/>
          <w:smallCaps w:val="false"/>
        </w:rPr>
        <w:t> </w:t>
      </w:r>
    </w:p>
    <w:tbl>
      <w:tblPr>
        <w:tblW w:w="6054" w:type="dxa"/>
        <w:jc w:val="left"/>
        <w:tblInd w:w="0" w:type="dxa"/>
        <w:tblLayout w:type="fixed"/>
        <w:tblCellMar>
          <w:top w:w="0" w:type="dxa"/>
          <w:left w:w="0" w:type="dxa"/>
          <w:bottom w:w="0" w:type="dxa"/>
          <w:right w:w="0" w:type="dxa"/>
        </w:tblCellMar>
      </w:tblPr>
      <w:tblGrid>
        <w:gridCol w:w="2585"/>
        <w:gridCol w:w="60"/>
        <w:gridCol w:w="61"/>
        <w:gridCol w:w="814"/>
        <w:gridCol w:w="95"/>
        <w:gridCol w:w="60"/>
        <w:gridCol w:w="254"/>
        <w:gridCol w:w="800"/>
        <w:gridCol w:w="60"/>
        <w:gridCol w:w="60"/>
        <w:gridCol w:w="120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Exercise </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ind w:left="0" w:right="0" w:hanging="200"/>
              <w:jc w:val="center"/>
              <w:rPr>
                <w:b/>
              </w:rPr>
            </w:pPr>
            <w:r>
              <w:rPr>
                <w:b/>
              </w:rPr>
              <w:t xml:space="preserve">Weighted </w:t>
              <w:br/>
              <w:t xml:space="preserve">Average </w:t>
              <w:br/>
              <w:t xml:space="preserve">Remaining </w:t>
              <w:br/>
              <w:t>Life</w:t>
            </w:r>
          </w:p>
        </w:tc>
      </w:tr>
      <w:tr>
        <w:trPr/>
        <w:tc>
          <w:tcPr>
            <w:tcW w:w="2585" w:type="dxa"/>
            <w:tcBorders/>
            <w:shd w:fill="CCEEFF" w:val="clear"/>
            <w:vAlign w:val="center"/>
          </w:tcPr>
          <w:p>
            <w:pPr>
              <w:pStyle w:val="TableContents"/>
              <w:bidi w:val="0"/>
              <w:spacing w:before="0" w:after="283"/>
              <w:jc w:val="left"/>
              <w:rPr/>
            </w:pPr>
            <w:r>
              <w:rPr/>
              <w:t>Outstanding May 31, 2024</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511,950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ind w:left="0" w:right="0" w:hanging="200"/>
              <w:jc w:val="left"/>
              <w:rPr/>
            </w:pPr>
            <w:r>
              <w:rPr/>
              <w:t> </w:t>
            </w:r>
          </w:p>
        </w:tc>
      </w:tr>
      <w:tr>
        <w:trPr/>
        <w:tc>
          <w:tcPr>
            <w:tcW w:w="258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ind w:left="0" w:right="0" w:hanging="200"/>
              <w:jc w:val="left"/>
              <w:rPr/>
            </w:pPr>
            <w:r>
              <w:rPr/>
              <w:t> </w:t>
            </w:r>
          </w:p>
        </w:tc>
      </w:tr>
      <w:tr>
        <w:trPr/>
        <w:tc>
          <w:tcPr>
            <w:tcW w:w="258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ind w:left="0" w:right="0" w:hanging="200"/>
              <w:jc w:val="left"/>
              <w:rPr/>
            </w:pPr>
            <w:r>
              <w:rPr/>
              <w:t> </w:t>
            </w:r>
          </w:p>
        </w:tc>
      </w:tr>
      <w:tr>
        <w:trPr/>
        <w:tc>
          <w:tcPr>
            <w:tcW w:w="2585" w:type="dxa"/>
            <w:tcBorders/>
            <w:shd w:fill="FFFFFF" w:val="clear"/>
            <w:vAlign w:val="center"/>
          </w:tcPr>
          <w:p>
            <w:pPr>
              <w:pStyle w:val="TableContents"/>
              <w:bidi w:val="0"/>
              <w:spacing w:before="0" w:after="283"/>
              <w:jc w:val="left"/>
              <w:rPr/>
            </w:pPr>
            <w:r>
              <w:rPr/>
              <w:t>Expired or forfeited</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ind w:left="0" w:right="0" w:hanging="200"/>
              <w:jc w:val="left"/>
              <w:rPr/>
            </w:pPr>
            <w:r>
              <w:rPr/>
              <w:t> </w:t>
            </w:r>
          </w:p>
        </w:tc>
      </w:tr>
      <w:tr>
        <w:trPr/>
        <w:tc>
          <w:tcPr>
            <w:tcW w:w="2585" w:type="dxa"/>
            <w:tcBorders/>
            <w:shd w:fill="CCEEFF" w:val="clear"/>
            <w:vAlign w:val="center"/>
          </w:tcPr>
          <w:p>
            <w:pPr>
              <w:pStyle w:val="TableContents"/>
              <w:bidi w:val="0"/>
              <w:spacing w:before="0" w:after="283"/>
              <w:jc w:val="left"/>
              <w:rPr/>
            </w:pPr>
            <w:r>
              <w:rPr/>
              <w:t>Outstanding May 31, 2025</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511,950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ind w:left="0" w:right="0" w:hanging="200"/>
              <w:jc w:val="left"/>
              <w:rPr/>
            </w:pPr>
            <w:r>
              <w:rPr/>
              <w:t> </w:t>
            </w:r>
          </w:p>
        </w:tc>
      </w:tr>
      <w:tr>
        <w:trPr/>
        <w:tc>
          <w:tcPr>
            <w:tcW w:w="258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ind w:left="0" w:right="0" w:hanging="200"/>
              <w:jc w:val="left"/>
              <w:rPr/>
            </w:pPr>
            <w:r>
              <w:rPr/>
              <w:t> </w:t>
            </w:r>
          </w:p>
        </w:tc>
      </w:tr>
      <w:tr>
        <w:trPr/>
        <w:tc>
          <w:tcPr>
            <w:tcW w:w="258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ind w:left="0" w:right="0" w:hanging="200"/>
              <w:jc w:val="left"/>
              <w:rPr/>
            </w:pPr>
            <w:r>
              <w:rPr/>
              <w:t> </w:t>
            </w:r>
          </w:p>
        </w:tc>
      </w:tr>
      <w:tr>
        <w:trPr/>
        <w:tc>
          <w:tcPr>
            <w:tcW w:w="2585" w:type="dxa"/>
            <w:tcBorders/>
            <w:shd w:fill="FFFFFF" w:val="clear"/>
            <w:vAlign w:val="center"/>
          </w:tcPr>
          <w:p>
            <w:pPr>
              <w:pStyle w:val="TableContents"/>
              <w:bidi w:val="0"/>
              <w:spacing w:before="0" w:after="283"/>
              <w:jc w:val="left"/>
              <w:rPr/>
            </w:pPr>
            <w:r>
              <w:rPr/>
              <w:t>Expired or forfeited</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FFFFFF" w:val="clear"/>
            <w:tcMar>
              <w:bottom w:w="28" w:type="dxa"/>
            </w:tcMar>
            <w:vAlign w:val="center"/>
          </w:tcPr>
          <w:p>
            <w:pPr>
              <w:pStyle w:val="TableContents"/>
              <w:bidi w:val="0"/>
              <w:spacing w:before="0" w:after="283"/>
              <w:jc w:val="right"/>
              <w:rPr/>
            </w:pPr>
            <w:r>
              <w:rPr/>
              <w:t>(70,200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ind w:left="0" w:right="0" w:hanging="200"/>
              <w:jc w:val="left"/>
              <w:rPr/>
            </w:pPr>
            <w:r>
              <w:rPr/>
              <w:t> </w:t>
            </w:r>
          </w:p>
        </w:tc>
      </w:tr>
      <w:tr>
        <w:trPr/>
        <w:tc>
          <w:tcPr>
            <w:tcW w:w="2585" w:type="dxa"/>
            <w:tcBorders/>
            <w:shd w:fill="CCEEFF" w:val="clear"/>
            <w:vAlign w:val="center"/>
          </w:tcPr>
          <w:p>
            <w:pPr>
              <w:pStyle w:val="TableContents"/>
              <w:bidi w:val="0"/>
              <w:spacing w:before="0" w:after="283"/>
              <w:jc w:val="left"/>
              <w:rPr/>
            </w:pPr>
            <w:r>
              <w:rPr/>
              <w:t>Outstanding May 31, 2026</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double" w:sz="10" w:space="0" w:color="000000"/>
            </w:tcBorders>
            <w:shd w:fill="CCEEFF" w:val="clear"/>
            <w:tcMar>
              <w:bottom w:w="28" w:type="dxa"/>
            </w:tcMar>
            <w:vAlign w:val="center"/>
          </w:tcPr>
          <w:p>
            <w:pPr>
              <w:pStyle w:val="TableContents"/>
              <w:bidi w:val="0"/>
              <w:spacing w:before="0" w:after="283"/>
              <w:jc w:val="right"/>
              <w:rPr/>
            </w:pPr>
            <w:r>
              <w:rPr/>
              <w:t>441,750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ind w:left="0" w:right="0" w:hanging="200"/>
              <w:jc w:val="center"/>
              <w:rPr/>
            </w:pPr>
            <w:r>
              <w:rPr/>
              <w:t>5.4 years</w:t>
            </w:r>
          </w:p>
        </w:tc>
      </w:tr>
      <w:tr>
        <w:trPr/>
        <w:tc>
          <w:tcPr>
            <w:tcW w:w="2585" w:type="dxa"/>
            <w:tcBorders/>
            <w:shd w:fill="FFFFFF" w:val="clear"/>
            <w:vAlign w:val="center"/>
          </w:tcPr>
          <w:p>
            <w:pPr>
              <w:pStyle w:val="TableContents"/>
              <w:bidi w:val="0"/>
              <w:spacing w:before="0" w:after="283"/>
              <w:jc w:val="left"/>
              <w:rPr/>
            </w:pPr>
            <w:r>
              <w:rPr/>
              <w:t>Exercisable May 31, 2026</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double" w:sz="10" w:space="0" w:color="000000"/>
            </w:tcBorders>
            <w:shd w:fill="FFFFFF" w:val="clear"/>
            <w:tcMar>
              <w:bottom w:w="28" w:type="dxa"/>
            </w:tcMar>
            <w:vAlign w:val="center"/>
          </w:tcPr>
          <w:p>
            <w:pPr>
              <w:pStyle w:val="TableContents"/>
              <w:bidi w:val="0"/>
              <w:spacing w:before="0" w:after="283"/>
              <w:jc w:val="right"/>
              <w:rPr/>
            </w:pPr>
            <w:r>
              <w:rPr/>
              <w:t>193,250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5.91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center"/>
              <w:rPr/>
            </w:pPr>
            <w:r>
              <w:rPr/>
              <w:t>4.3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12 </w:t>
      </w:r>
      <w:r>
        <w:rPr>
          <w:rFonts w:ascii="Times New Roman;Times;Serif" w:hAnsi="Times New Roman;Times;Serif"/>
          <w:b/>
          <w:i w:val="false"/>
          <w:caps/>
          <w:sz w:val="20"/>
        </w:rPr>
        <w:t>— STOCKHOLDERS’ EQUITY</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 ended May 31, 2026, stock-based compensation expense amounted to $142,300, which is included in general and administrative expenses and was recorded due to certain option awards with contingent vesting conditions which became probable of occurring as of May 31, 2026. In the year ended May 31, 2025, stock-based compensation amounted to $24,312, which was included in research and development expenses. As of May 31, 2026, unrecognized stock-based compensation expense related to options for which vesting is considered probable was $0. As of May 31, 2026, unrecognized stock-based compensation expense related to options for which vesting is not considered probable was $951,412.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 ended May 31, 2023, the Company issued 132,000 restricted stock units, vesting upon a change in control or public listing of the Company’s common stock. In the year ended May 31, 2024, concurrent with the modification of stock options described above, the Company terminated outstanding restricted stock units representing 44,000 shares. Vesting of the units is not considered probable and no compensation expense has been recognized through the year ended May 31, 2026 and 2025. The grant-date fair value and unrecognized compensation expense as of May 31, 2026 related to the restricted stock units amounts to $616,880.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May 31, 2026 and 2025, the components of loss before provision for/(benefit from) income taxes are as follows:</w:t>
      </w:r>
    </w:p>
    <w:p>
      <w:pPr>
        <w:pStyle w:val="TextBody"/>
        <w:bidi w:val="0"/>
        <w:spacing w:before="0" w:after="0"/>
        <w:ind w:left="0" w:right="0" w:firstLine="360"/>
        <w:jc w:val="both"/>
        <w:rPr>
          <w:caps w:val="false"/>
          <w:smallCaps w:val="false"/>
        </w:rPr>
      </w:pPr>
      <w:r>
        <w:rPr>
          <w:caps w:val="false"/>
          <w:smallCaps w:val="false"/>
        </w:rPr>
        <w:t> </w:t>
      </w:r>
    </w:p>
    <w:tbl>
      <w:tblPr>
        <w:tblW w:w="3650" w:type="dxa"/>
        <w:jc w:val="left"/>
        <w:tblInd w:w="0" w:type="dxa"/>
        <w:tblLayout w:type="fixed"/>
        <w:tblCellMar>
          <w:top w:w="0" w:type="dxa"/>
          <w:left w:w="0" w:type="dxa"/>
          <w:bottom w:w="0" w:type="dxa"/>
          <w:right w:w="0" w:type="dxa"/>
        </w:tblCellMar>
      </w:tblPr>
      <w:tblGrid>
        <w:gridCol w:w="1295"/>
        <w:gridCol w:w="60"/>
        <w:gridCol w:w="140"/>
        <w:gridCol w:w="875"/>
        <w:gridCol w:w="95"/>
        <w:gridCol w:w="60"/>
        <w:gridCol w:w="140"/>
        <w:gridCol w:w="875"/>
        <w:gridCol w:w="110"/>
      </w:tblGrid>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200"/>
              <w:jc w:val="left"/>
              <w:rPr/>
            </w:pPr>
            <w:r>
              <w:rPr/>
              <w:t> </w:t>
            </w:r>
          </w:p>
        </w:tc>
      </w:tr>
      <w:tr>
        <w:trPr/>
        <w:tc>
          <w:tcPr>
            <w:tcW w:w="1295"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(834,482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(725,296</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1295"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29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(834,482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(725,296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May 31, 2026 and 2025, the provision for income taxes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3495" w:type="dxa"/>
        <w:jc w:val="left"/>
        <w:tblInd w:w="0" w:type="dxa"/>
        <w:tblLayout w:type="fixed"/>
        <w:tblCellMar>
          <w:top w:w="0" w:type="dxa"/>
          <w:left w:w="0" w:type="dxa"/>
          <w:bottom w:w="0" w:type="dxa"/>
          <w:right w:w="0" w:type="dxa"/>
        </w:tblCellMar>
      </w:tblPr>
      <w:tblGrid>
        <w:gridCol w:w="1370"/>
        <w:gridCol w:w="60"/>
        <w:gridCol w:w="140"/>
        <w:gridCol w:w="875"/>
        <w:gridCol w:w="95"/>
        <w:gridCol w:w="60"/>
        <w:gridCol w:w="140"/>
        <w:gridCol w:w="680"/>
        <w:gridCol w:w="75"/>
      </w:tblGrid>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Current:</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1370" w:type="dxa"/>
            <w:tcBorders/>
            <w:shd w:fill="CCEEFF" w:val="clear"/>
            <w:vAlign w:val="center"/>
          </w:tcPr>
          <w:p>
            <w:pPr>
              <w:pStyle w:val="TableContents"/>
              <w:bidi w:val="0"/>
              <w:spacing w:before="0" w:after="283"/>
              <w:jc w:val="left"/>
              <w:rPr/>
            </w:pPr>
            <w:r>
              <w:rPr/>
              <w:t>Federal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(176,002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16,483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370" w:type="dxa"/>
            <w:tcBorders/>
            <w:shd w:fill="FFFFFF" w:val="clear"/>
            <w:vAlign w:val="center"/>
          </w:tcPr>
          <w:p>
            <w:pPr>
              <w:pStyle w:val="TableContents"/>
              <w:bidi w:val="0"/>
              <w:spacing w:before="0" w:after="283"/>
              <w:jc w:val="left"/>
              <w:rPr/>
            </w:pPr>
            <w:r>
              <w:rPr/>
              <w:t>State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1,456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1,456</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1370" w:type="dxa"/>
            <w:tcBorders/>
            <w:shd w:fill="CCEEFF" w:val="clear"/>
            <w:vAlign w:val="center"/>
          </w:tcPr>
          <w:p>
            <w:pPr>
              <w:pStyle w:val="TableContents"/>
              <w:bidi w:val="0"/>
              <w:spacing w:before="0" w:after="283"/>
              <w:jc w:val="left"/>
              <w:rPr/>
            </w:pPr>
            <w:r>
              <w:rPr/>
              <w:t>Total 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(174,546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17,939</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370" w:type="dxa"/>
            <w:tcBorders/>
            <w:shd w:fill="FFFFFF" w:val="clear"/>
            <w:vAlign w:val="center"/>
          </w:tcPr>
          <w:p>
            <w:pPr>
              <w:pStyle w:val="TableContents"/>
              <w:bidi w:val="0"/>
              <w:spacing w:before="0" w:after="283"/>
              <w:jc w:val="left"/>
              <w:rPr/>
            </w:pPr>
            <w:r>
              <w:rPr/>
              <w:t>Deferred: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1370" w:type="dxa"/>
            <w:tcBorders/>
            <w:shd w:fill="CCEEFF" w:val="clear"/>
            <w:vAlign w:val="center"/>
          </w:tcPr>
          <w:p>
            <w:pPr>
              <w:pStyle w:val="TableContents"/>
              <w:bidi w:val="0"/>
              <w:spacing w:before="0" w:after="283"/>
              <w:jc w:val="left"/>
              <w:rPr/>
            </w:pPr>
            <w:r>
              <w:rPr/>
              <w:t>Federal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370" w:type="dxa"/>
            <w:tcBorders/>
            <w:shd w:fill="FFFFFF" w:val="clear"/>
            <w:vAlign w:val="center"/>
          </w:tcPr>
          <w:p>
            <w:pPr>
              <w:pStyle w:val="TableContents"/>
              <w:bidi w:val="0"/>
              <w:spacing w:before="0" w:after="283"/>
              <w:jc w:val="left"/>
              <w:rPr/>
            </w:pPr>
            <w:r>
              <w:rPr/>
              <w:t>State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1370" w:type="dxa"/>
            <w:tcBorders/>
            <w:shd w:fill="CCEEFF" w:val="clear"/>
            <w:vAlign w:val="center"/>
          </w:tcPr>
          <w:p>
            <w:pPr>
              <w:pStyle w:val="TableContents"/>
              <w:bidi w:val="0"/>
              <w:spacing w:before="0" w:after="283"/>
              <w:jc w:val="left"/>
              <w:rPr/>
            </w:pPr>
            <w:r>
              <w:rPr/>
              <w:t>Total deferred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37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(174,546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17,939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May 31, 2026, a reconciliation of the Company’s effective tax rate to the statutory U.S. Federal rate as required under ASU 2023-09 is as follows:</w:t>
      </w:r>
    </w:p>
    <w:p>
      <w:pPr>
        <w:pStyle w:val="TextBody"/>
        <w:bidi w:val="0"/>
        <w:spacing w:before="0" w:after="0"/>
        <w:ind w:left="0" w:right="0" w:firstLine="360"/>
        <w:jc w:val="both"/>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6260"/>
        <w:gridCol w:w="60"/>
        <w:gridCol w:w="83"/>
        <w:gridCol w:w="717"/>
        <w:gridCol w:w="290"/>
        <w:gridCol w:w="60"/>
        <w:gridCol w:w="60"/>
        <w:gridCol w:w="875"/>
        <w:gridCol w:w="110"/>
      </w:tblGrid>
      <w:tr>
        <w:trPr/>
        <w:tc>
          <w:tcPr>
            <w:tcW w:w="6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283"/>
              <w:jc w:val="left"/>
              <w:rPr/>
            </w:pPr>
            <w:r>
              <w:rPr/>
              <w:t>Income taxes at Federal statutory rate</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21.0</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(175,241</w:t>
            </w:r>
          </w:p>
        </w:tc>
        <w:tc>
          <w:tcPr>
            <w:tcW w:w="110" w:type="dxa"/>
            <w:tcBorders/>
            <w:shd w:fill="CCEEFF" w:val="clear"/>
            <w:vAlign w:val="center"/>
          </w:tcPr>
          <w:p>
            <w:pPr>
              <w:pStyle w:val="TableContents"/>
              <w:bidi w:val="0"/>
              <w:spacing w:before="0" w:after="283"/>
              <w:jc w:val="left"/>
              <w:rPr/>
            </w:pPr>
            <w:r>
              <w:rPr/>
              <w:t>)</w:t>
            </w:r>
          </w:p>
        </w:tc>
      </w:tr>
      <w:tr>
        <w:trPr/>
        <w:tc>
          <w:tcPr>
            <w:tcW w:w="6260" w:type="dxa"/>
            <w:tcBorders/>
            <w:shd w:fill="FFFFFF" w:val="clear"/>
            <w:vAlign w:val="center"/>
          </w:tcPr>
          <w:p>
            <w:pPr>
              <w:pStyle w:val="TableContents"/>
              <w:bidi w:val="0"/>
              <w:spacing w:before="0" w:after="283"/>
              <w:jc w:val="left"/>
              <w:rPr/>
            </w:pPr>
            <w:r>
              <w:rPr/>
              <w:t>State income tax, net of Federal income tax benefit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(0.2</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1,456</w:t>
            </w:r>
          </w:p>
        </w:tc>
        <w:tc>
          <w:tcPr>
            <w:tcW w:w="110" w:type="dxa"/>
            <w:tcBorders/>
            <w:shd w:fill="FFFFFF" w:val="clear"/>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19.9</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(165,789</w:t>
            </w:r>
          </w:p>
        </w:tc>
        <w:tc>
          <w:tcPr>
            <w:tcW w:w="110" w:type="dxa"/>
            <w:tcBorders/>
            <w:shd w:fill="CCEEFF" w:val="clear"/>
            <w:vAlign w:val="center"/>
          </w:tcPr>
          <w:p>
            <w:pPr>
              <w:pStyle w:val="TableContents"/>
              <w:bidi w:val="0"/>
              <w:spacing w:before="0" w:after="283"/>
              <w:jc w:val="left"/>
              <w:rPr/>
            </w:pPr>
            <w:r>
              <w:rPr/>
              <w:t>)</w:t>
            </w:r>
          </w:p>
        </w:tc>
      </w:tr>
      <w:tr>
        <w:trPr/>
        <w:tc>
          <w:tcPr>
            <w:tcW w:w="6260" w:type="dxa"/>
            <w:tcBorders/>
            <w:shd w:fill="FFFFFF" w:val="clear"/>
            <w:vAlign w:val="center"/>
          </w:tcPr>
          <w:p>
            <w:pPr>
              <w:pStyle w:val="TableContents"/>
              <w:bidi w:val="0"/>
              <w:spacing w:before="0" w:after="283"/>
              <w:jc w:val="left"/>
              <w:rPr/>
            </w:pPr>
            <w:r>
              <w:rPr/>
              <w:t>Effect of changes in tax laws or rates enacted in the current period</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60" w:type="dxa"/>
            <w:tcBorders/>
            <w:shd w:fill="FFFFFF" w:val="clear"/>
            <w:vAlign w:val="center"/>
          </w:tcPr>
          <w:p>
            <w:pPr>
              <w:pStyle w:val="TableContents"/>
              <w:bidi w:val="0"/>
              <w:spacing w:before="0" w:after="283"/>
              <w:jc w:val="left"/>
              <w:rPr/>
            </w:pPr>
            <w:r>
              <w:rPr/>
              <w:t>Nontaxable or nondeductible items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283"/>
              <w:jc w:val="left"/>
              <w:rPr/>
            </w:pPr>
            <w:r>
              <w:rPr/>
              <w:t>Financing costs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(15.3</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127,292</w:t>
            </w:r>
          </w:p>
        </w:tc>
        <w:tc>
          <w:tcPr>
            <w:tcW w:w="110" w:type="dxa"/>
            <w:tcBorders/>
            <w:shd w:fill="CCEEFF" w:val="clear"/>
            <w:vAlign w:val="center"/>
          </w:tcPr>
          <w:p>
            <w:pPr>
              <w:pStyle w:val="TableContents"/>
              <w:bidi w:val="0"/>
              <w:spacing w:before="0" w:after="283"/>
              <w:jc w:val="left"/>
              <w:rPr/>
            </w:pPr>
            <w:r>
              <w:rPr/>
              <w:t> </w:t>
            </w:r>
          </w:p>
        </w:tc>
      </w:tr>
      <w:tr>
        <w:trPr/>
        <w:tc>
          <w:tcPr>
            <w:tcW w:w="6260" w:type="dxa"/>
            <w:tcBorders/>
            <w:shd w:fill="FFFFFF" w:val="clear"/>
            <w:vAlign w:val="center"/>
          </w:tcPr>
          <w:p>
            <w:pPr>
              <w:pStyle w:val="TableContents"/>
              <w:bidi w:val="0"/>
              <w:spacing w:before="0" w:after="283"/>
              <w:jc w:val="left"/>
              <w:rPr/>
            </w:pPr>
            <w:r>
              <w:rPr/>
              <w:t>Discounts and interest on notes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(3.0</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25,072</w:t>
            </w:r>
          </w:p>
        </w:tc>
        <w:tc>
          <w:tcPr>
            <w:tcW w:w="110" w:type="dxa"/>
            <w:tcBorders/>
            <w:shd w:fill="FFFFFF" w:val="clear"/>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283"/>
              <w:jc w:val="left"/>
              <w:rPr/>
            </w:pPr>
            <w:r>
              <w:rPr/>
              <w:t>Share Based Payments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(3.6</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29,926</w:t>
            </w:r>
          </w:p>
        </w:tc>
        <w:tc>
          <w:tcPr>
            <w:tcW w:w="110" w:type="dxa"/>
            <w:tcBorders/>
            <w:shd w:fill="CCEEFF" w:val="clear"/>
            <w:vAlign w:val="center"/>
          </w:tcPr>
          <w:p>
            <w:pPr>
              <w:pStyle w:val="TableContents"/>
              <w:bidi w:val="0"/>
              <w:spacing w:before="0" w:after="283"/>
              <w:jc w:val="left"/>
              <w:rPr/>
            </w:pPr>
            <w:r>
              <w:rPr/>
              <w:t> </w:t>
            </w:r>
          </w:p>
        </w:tc>
      </w:tr>
      <w:tr>
        <w:trPr/>
        <w:tc>
          <w:tcPr>
            <w:tcW w:w="626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(0.7</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5,990</w:t>
            </w:r>
          </w:p>
        </w:tc>
        <w:tc>
          <w:tcPr>
            <w:tcW w:w="110" w:type="dxa"/>
            <w:tcBorders/>
            <w:shd w:fill="FFFFFF" w:val="clear"/>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283"/>
              <w:jc w:val="left"/>
              <w:rPr/>
            </w:pPr>
            <w:r>
              <w:rPr/>
              <w:t>Changes in unrecognized tax benefits</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7" w:type="dxa"/>
            <w:tcBorders>
              <w:bottom w:val="single" w:sz="12" w:space="0" w:color="000000"/>
            </w:tcBorders>
            <w:shd w:fill="CCEEFF" w:val="clear"/>
            <w:tcMar>
              <w:bottom w:w="28" w:type="dxa"/>
            </w:tcMar>
            <w:vAlign w:val="center"/>
          </w:tcPr>
          <w:p>
            <w:pPr>
              <w:pStyle w:val="TableContents"/>
              <w:bidi w:val="0"/>
              <w:spacing w:before="0" w:after="283"/>
              <w:jc w:val="right"/>
              <w:rPr/>
            </w:pPr>
            <w:r>
              <w:rPr/>
              <w:t>2.8</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(23,252</w:t>
            </w:r>
          </w:p>
        </w:tc>
        <w:tc>
          <w:tcPr>
            <w:tcW w:w="110" w:type="dxa"/>
            <w:tcBorders/>
            <w:shd w:fill="CCEEFF" w:val="clear"/>
            <w:vAlign w:val="center"/>
          </w:tcPr>
          <w:p>
            <w:pPr>
              <w:pStyle w:val="TableContents"/>
              <w:bidi w:val="0"/>
              <w:spacing w:before="0" w:after="283"/>
              <w:jc w:val="left"/>
              <w:rPr/>
            </w:pPr>
            <w:r>
              <w:rPr/>
              <w:t>)</w:t>
            </w:r>
          </w:p>
        </w:tc>
      </w:tr>
      <w:tr>
        <w:trPr/>
        <w:tc>
          <w:tcPr>
            <w:tcW w:w="6260"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17" w:type="dxa"/>
            <w:tcBorders>
              <w:bottom w:val="double" w:sz="10" w:space="0" w:color="000000"/>
            </w:tcBorders>
            <w:shd w:fill="FFFFFF" w:val="clear"/>
            <w:tcMar>
              <w:bottom w:w="28" w:type="dxa"/>
            </w:tcMar>
            <w:vAlign w:val="center"/>
          </w:tcPr>
          <w:p>
            <w:pPr>
              <w:pStyle w:val="TableContents"/>
              <w:bidi w:val="0"/>
              <w:spacing w:before="0" w:after="283"/>
              <w:jc w:val="right"/>
              <w:rPr/>
            </w:pPr>
            <w:r>
              <w:rPr/>
              <w:t>20.9</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(174,546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38"/>
        <w:gridCol w:w="140"/>
        <w:gridCol w:w="584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both"/>
              <w:rPr/>
            </w:pPr>
            <w:r>
              <w:rPr/>
              <w:t>The Company files state income taxes in CA, CT, MA &amp; NJ.</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income tax computed using the U.S. federal statutory tax rate compared to that reflected in operations, prior to the requirements of ASU 2023-09, for the year ended May 31, 2025 consists of:</w:t>
      </w:r>
    </w:p>
    <w:p>
      <w:pPr>
        <w:pStyle w:val="TextBody"/>
        <w:bidi w:val="0"/>
        <w:spacing w:before="0" w:after="0"/>
        <w:ind w:left="0" w:right="0" w:firstLine="360"/>
        <w:jc w:val="both"/>
        <w:rPr>
          <w:caps w:val="false"/>
          <w:smallCaps w:val="false"/>
        </w:rPr>
      </w:pPr>
      <w:r>
        <w:rPr>
          <w:caps w:val="false"/>
          <w:smallCaps w:val="false"/>
        </w:rPr>
        <w:t> </w:t>
      </w:r>
    </w:p>
    <w:tbl>
      <w:tblPr>
        <w:tblW w:w="4740" w:type="dxa"/>
        <w:jc w:val="left"/>
        <w:tblInd w:w="0" w:type="dxa"/>
        <w:tblLayout w:type="fixed"/>
        <w:tblCellMar>
          <w:top w:w="0" w:type="dxa"/>
          <w:left w:w="0" w:type="dxa"/>
          <w:bottom w:w="0" w:type="dxa"/>
          <w:right w:w="0" w:type="dxa"/>
        </w:tblCellMar>
      </w:tblPr>
      <w:tblGrid>
        <w:gridCol w:w="3575"/>
        <w:gridCol w:w="60"/>
        <w:gridCol w:w="83"/>
        <w:gridCol w:w="717"/>
        <w:gridCol w:w="305"/>
      </w:tblGrid>
      <w:tr>
        <w:trPr/>
        <w:tc>
          <w:tcPr>
            <w:tcW w:w="3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305" w:type="dxa"/>
            <w:tcBorders/>
            <w:vAlign w:val="center"/>
          </w:tcPr>
          <w:p>
            <w:pPr>
              <w:pStyle w:val="TableContents"/>
              <w:bidi w:val="0"/>
              <w:spacing w:before="0" w:after="283"/>
              <w:jc w:val="center"/>
              <w:rPr/>
            </w:pPr>
            <w:r>
              <w:rPr/>
              <w:t> </w:t>
            </w:r>
          </w:p>
        </w:tc>
      </w:tr>
      <w:tr>
        <w:trPr/>
        <w:tc>
          <w:tcPr>
            <w:tcW w:w="3575" w:type="dxa"/>
            <w:tcBorders/>
            <w:shd w:fill="CCEEFF" w:val="clear"/>
            <w:vAlign w:val="center"/>
          </w:tcPr>
          <w:p>
            <w:pPr>
              <w:pStyle w:val="TableContents"/>
              <w:bidi w:val="0"/>
              <w:spacing w:before="0" w:after="283"/>
              <w:jc w:val="left"/>
              <w:rPr/>
            </w:pPr>
            <w:r>
              <w:rPr/>
              <w:t>Income taxes at Federal statutory rate</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21.0</w:t>
            </w:r>
          </w:p>
        </w:tc>
        <w:tc>
          <w:tcPr>
            <w:tcW w:w="305" w:type="dxa"/>
            <w:tcBorders/>
            <w:shd w:fill="CCEEFF" w:val="clear"/>
            <w:vAlign w:val="center"/>
          </w:tcPr>
          <w:p>
            <w:pPr>
              <w:pStyle w:val="TableContents"/>
              <w:bidi w:val="0"/>
              <w:spacing w:before="0" w:after="283"/>
              <w:jc w:val="left"/>
              <w:rPr/>
            </w:pPr>
            <w:r>
              <w:rPr/>
              <w:t>%</w:t>
            </w:r>
          </w:p>
        </w:tc>
      </w:tr>
      <w:tr>
        <w:trPr/>
        <w:tc>
          <w:tcPr>
            <w:tcW w:w="3575" w:type="dxa"/>
            <w:tcBorders/>
            <w:shd w:fill="FFFFFF" w:val="clear"/>
            <w:vAlign w:val="center"/>
          </w:tcPr>
          <w:p>
            <w:pPr>
              <w:pStyle w:val="TableContents"/>
              <w:bidi w:val="0"/>
              <w:spacing w:before="0" w:after="283"/>
              <w:jc w:val="left"/>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(14.3</w:t>
            </w:r>
          </w:p>
        </w:tc>
        <w:tc>
          <w:tcPr>
            <w:tcW w:w="305" w:type="dxa"/>
            <w:tcBorders/>
            <w:shd w:fill="FFFFFF" w:val="clear"/>
            <w:vAlign w:val="center"/>
          </w:tcPr>
          <w:p>
            <w:pPr>
              <w:pStyle w:val="TableContents"/>
              <w:bidi w:val="0"/>
              <w:spacing w:before="0" w:after="283"/>
              <w:jc w:val="left"/>
              <w:rPr/>
            </w:pPr>
            <w:r>
              <w:rPr/>
              <w:t>)%</w:t>
            </w:r>
          </w:p>
        </w:tc>
      </w:tr>
      <w:tr>
        <w:trPr/>
        <w:tc>
          <w:tcPr>
            <w:tcW w:w="3575" w:type="dxa"/>
            <w:tcBorders/>
            <w:shd w:fill="CCEEFF" w:val="clear"/>
            <w:vAlign w:val="center"/>
          </w:tcPr>
          <w:p>
            <w:pPr>
              <w:pStyle w:val="TableContents"/>
              <w:bidi w:val="0"/>
              <w:spacing w:before="0" w:after="283"/>
              <w:jc w:val="left"/>
              <w:rPr/>
            </w:pPr>
            <w:r>
              <w:rPr/>
              <w:t>Discounts and interest on notes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(2.4</w:t>
            </w:r>
          </w:p>
        </w:tc>
        <w:tc>
          <w:tcPr>
            <w:tcW w:w="305" w:type="dxa"/>
            <w:tcBorders/>
            <w:shd w:fill="CCEEFF" w:val="clear"/>
            <w:vAlign w:val="center"/>
          </w:tcPr>
          <w:p>
            <w:pPr>
              <w:pStyle w:val="TableContents"/>
              <w:bidi w:val="0"/>
              <w:spacing w:before="0" w:after="283"/>
              <w:jc w:val="left"/>
              <w:rPr/>
            </w:pPr>
            <w:r>
              <w:rPr/>
              <w:t>)%</w:t>
            </w:r>
          </w:p>
        </w:tc>
      </w:tr>
      <w:tr>
        <w:trPr/>
        <w:tc>
          <w:tcPr>
            <w:tcW w:w="3575" w:type="dxa"/>
            <w:tcBorders/>
            <w:shd w:fill="FFFFFF" w:val="clear"/>
            <w:vAlign w:val="center"/>
          </w:tcPr>
          <w:p>
            <w:pPr>
              <w:pStyle w:val="TableContents"/>
              <w:bidi w:val="0"/>
              <w:spacing w:before="0" w:after="283"/>
              <w:jc w:val="left"/>
              <w:rPr/>
            </w:pPr>
            <w:r>
              <w:rPr/>
              <w:t>Financing costs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(4.3</w:t>
            </w:r>
          </w:p>
        </w:tc>
        <w:tc>
          <w:tcPr>
            <w:tcW w:w="305" w:type="dxa"/>
            <w:tcBorders/>
            <w:shd w:fill="FFFFFF" w:val="clear"/>
            <w:vAlign w:val="center"/>
          </w:tcPr>
          <w:p>
            <w:pPr>
              <w:pStyle w:val="TableContents"/>
              <w:bidi w:val="0"/>
              <w:spacing w:before="0" w:after="283"/>
              <w:jc w:val="left"/>
              <w:rPr/>
            </w:pPr>
            <w:r>
              <w:rPr/>
              <w:t>)%</w:t>
            </w:r>
          </w:p>
        </w:tc>
      </w:tr>
      <w:tr>
        <w:trPr/>
        <w:tc>
          <w:tcPr>
            <w:tcW w:w="3575" w:type="dxa"/>
            <w:tcBorders/>
            <w:shd w:fill="CCEEFF" w:val="clear"/>
            <w:vAlign w:val="center"/>
          </w:tcPr>
          <w:p>
            <w:pPr>
              <w:pStyle w:val="TableContents"/>
              <w:bidi w:val="0"/>
              <w:spacing w:before="0" w:after="283"/>
              <w:jc w:val="left"/>
              <w:rPr/>
            </w:pPr>
            <w:r>
              <w:rPr/>
              <w:t>Changes in unrecognized tax benefits</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7" w:type="dxa"/>
            <w:tcBorders>
              <w:bottom w:val="single" w:sz="12" w:space="0" w:color="000000"/>
            </w:tcBorders>
            <w:shd w:fill="CCEEFF" w:val="clear"/>
            <w:tcMar>
              <w:bottom w:w="28" w:type="dxa"/>
            </w:tcMar>
            <w:vAlign w:val="center"/>
          </w:tcPr>
          <w:p>
            <w:pPr>
              <w:pStyle w:val="TableContents"/>
              <w:bidi w:val="0"/>
              <w:spacing w:before="0" w:after="283"/>
              <w:jc w:val="right"/>
              <w:rPr/>
            </w:pPr>
            <w:r>
              <w:rPr/>
              <w:t>(2.3</w:t>
            </w:r>
          </w:p>
        </w:tc>
        <w:tc>
          <w:tcPr>
            <w:tcW w:w="305" w:type="dxa"/>
            <w:tcBorders/>
            <w:shd w:fill="CCEEFF" w:val="clear"/>
            <w:vAlign w:val="center"/>
          </w:tcPr>
          <w:p>
            <w:pPr>
              <w:pStyle w:val="TableContents"/>
              <w:bidi w:val="0"/>
              <w:spacing w:before="0" w:after="283"/>
              <w:jc w:val="left"/>
              <w:rPr/>
            </w:pPr>
            <w:r>
              <w:rPr/>
              <w:t>)%</w:t>
            </w:r>
          </w:p>
        </w:tc>
      </w:tr>
      <w:tr>
        <w:trPr/>
        <w:tc>
          <w:tcPr>
            <w:tcW w:w="3575"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17" w:type="dxa"/>
            <w:tcBorders>
              <w:bottom w:val="double" w:sz="10" w:space="0" w:color="000000"/>
            </w:tcBorders>
            <w:shd w:fill="FFFFFF" w:val="clear"/>
            <w:tcMar>
              <w:bottom w:w="28" w:type="dxa"/>
            </w:tcMar>
            <w:vAlign w:val="center"/>
          </w:tcPr>
          <w:p>
            <w:pPr>
              <w:pStyle w:val="TableContents"/>
              <w:bidi w:val="0"/>
              <w:spacing w:before="0" w:after="283"/>
              <w:jc w:val="right"/>
              <w:rPr/>
            </w:pPr>
            <w:r>
              <w:rPr/>
              <w:t>(2.3</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13 — INCOME TAXES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deferred tax assets and liabilities consist of the following at May 31, 2026 and 2025:</w:t>
      </w:r>
    </w:p>
    <w:p>
      <w:pPr>
        <w:pStyle w:val="TextBody"/>
        <w:bidi w:val="0"/>
        <w:spacing w:before="0" w:after="0"/>
        <w:ind w:left="0" w:right="0" w:firstLine="360"/>
        <w:jc w:val="both"/>
        <w:rPr>
          <w:caps w:val="false"/>
          <w:smallCaps w:val="false"/>
        </w:rPr>
      </w:pPr>
      <w:r>
        <w:rPr>
          <w:caps w:val="false"/>
          <w:smallCaps w:val="false"/>
        </w:rPr>
        <w:t> </w:t>
      </w:r>
    </w:p>
    <w:tbl>
      <w:tblPr>
        <w:tblW w:w="7520" w:type="dxa"/>
        <w:jc w:val="left"/>
        <w:tblInd w:w="0" w:type="dxa"/>
        <w:tblLayout w:type="fixed"/>
        <w:tblCellMar>
          <w:top w:w="0" w:type="dxa"/>
          <w:left w:w="0" w:type="dxa"/>
          <w:bottom w:w="0" w:type="dxa"/>
          <w:right w:w="0" w:type="dxa"/>
        </w:tblCellMar>
      </w:tblPr>
      <w:tblGrid>
        <w:gridCol w:w="5165"/>
        <w:gridCol w:w="60"/>
        <w:gridCol w:w="140"/>
        <w:gridCol w:w="875"/>
        <w:gridCol w:w="95"/>
        <w:gridCol w:w="60"/>
        <w:gridCol w:w="140"/>
        <w:gridCol w:w="875"/>
        <w:gridCol w:w="110"/>
      </w:tblGrid>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May 31, </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May 31, </w:t>
              <w:br/>
              <w:t>2025</w:t>
            </w:r>
          </w:p>
        </w:tc>
        <w:tc>
          <w:tcPr>
            <w:tcW w:w="11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Deferred tax 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200"/>
              <w:jc w:val="left"/>
              <w:rPr/>
            </w:pPr>
            <w:r>
              <w:rPr/>
              <w:t> </w:t>
            </w:r>
          </w:p>
        </w:tc>
      </w:tr>
      <w:tr>
        <w:trPr/>
        <w:tc>
          <w:tcPr>
            <w:tcW w:w="5165" w:type="dxa"/>
            <w:tcBorders/>
            <w:shd w:fill="CCEEFF" w:val="clear"/>
            <w:vAlign w:val="center"/>
          </w:tcPr>
          <w:p>
            <w:pPr>
              <w:pStyle w:val="TableContents"/>
              <w:bidi w:val="0"/>
              <w:spacing w:before="0" w:after="283"/>
              <w:jc w:val="left"/>
              <w:rPr/>
            </w:pPr>
            <w:r>
              <w:rPr/>
              <w:t>Tax benefit of net operating loss carry-forward (NOL)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344,733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351,453</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5165" w:type="dxa"/>
            <w:tcBorders/>
            <w:shd w:fill="FFFFFF" w:val="clear"/>
            <w:vAlign w:val="center"/>
          </w:tcPr>
          <w:p>
            <w:pPr>
              <w:pStyle w:val="TableContents"/>
              <w:bidi w:val="0"/>
              <w:spacing w:before="0" w:after="283"/>
              <w:jc w:val="left"/>
              <w:rPr/>
            </w:pPr>
            <w:r>
              <w:rPr/>
              <w:t>FIN48 reduction in NOL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(269,420</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5165" w:type="dxa"/>
            <w:tcBorders/>
            <w:shd w:fill="CCEEFF" w:val="clear"/>
            <w:vAlign w:val="center"/>
          </w:tcPr>
          <w:p>
            <w:pPr>
              <w:pStyle w:val="TableContents"/>
              <w:bidi w:val="0"/>
              <w:spacing w:before="0" w:after="283"/>
              <w:jc w:val="left"/>
              <w:rPr/>
            </w:pPr>
            <w:r>
              <w:rPr/>
              <w:t>Stock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360,886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351,136</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5165"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422,170</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16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16,336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1,151</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5165" w:type="dxa"/>
            <w:tcBorders/>
            <w:shd w:fill="FFFFFF" w:val="clear"/>
            <w:vAlign w:val="center"/>
          </w:tcPr>
          <w:p>
            <w:pPr>
              <w:pStyle w:val="TableContents"/>
              <w:bidi w:val="0"/>
              <w:spacing w:before="0" w:after="283"/>
              <w:jc w:val="left"/>
              <w:rPr/>
            </w:pPr>
            <w:r>
              <w:rPr/>
              <w:t>Total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721,955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856,490</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165"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(27,587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(8,152</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5165" w:type="dxa"/>
            <w:tcBorders/>
            <w:shd w:fill="FFFFFF" w:val="clear"/>
            <w:vAlign w:val="center"/>
          </w:tcPr>
          <w:p>
            <w:pPr>
              <w:pStyle w:val="TableContents"/>
              <w:bidi w:val="0"/>
              <w:spacing w:before="0" w:after="283"/>
              <w:jc w:val="left"/>
              <w:rPr/>
            </w:pPr>
            <w:r>
              <w:rPr/>
              <w:t>Net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694,368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848,338</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165" w:type="dxa"/>
            <w:tcBorders/>
            <w:shd w:fill="CCEEFF" w:val="clear"/>
            <w:vAlign w:val="center"/>
          </w:tcPr>
          <w:p>
            <w:pPr>
              <w:pStyle w:val="TableContents"/>
              <w:bidi w:val="0"/>
              <w:spacing w:before="0" w:after="283"/>
              <w:jc w:val="left"/>
              <w:rPr/>
            </w:pPr>
            <w:r>
              <w:rPr/>
              <w:t>Valuation allowance for 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(694,368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(848,338</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5165" w:type="dxa"/>
            <w:tcBorders/>
            <w:shd w:fill="FFFFFF" w:val="clear"/>
            <w:vAlign w:val="center"/>
          </w:tcPr>
          <w:p>
            <w:pPr>
              <w:pStyle w:val="TableContents"/>
              <w:bidi w:val="0"/>
              <w:spacing w:before="0" w:after="283"/>
              <w:jc w:val="left"/>
              <w:rPr/>
            </w:pPr>
            <w:r>
              <w:rPr/>
              <w:t>Deferred tax assets, net of 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31, 2026 and 2025, the Company had federal net operating loss (“NOL”) carryforwards available to reduce future taxable income of approximately $1,498,000 and $1,541,000, respectively. As of May 31, 2026 and 2025, the Company had state NOL carryforwards of approximately $428,500 and $392,000, respectively, primarily for the state of New Jersey. Federal NOLs of approximately $132,000 expire in the years May 31, 2026 through May 31, 2028, and remaining Federal NOLs have an indefinite expiration period and can be utilized to offset up to 80% of future taxable income. State loss carryforwards expire between 2036 and 2044.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Internal Revenue Code Section 382 imposes an annual limit on the ability of a corporation that undergoes a greater than 50% ownership change to use its net operating loss carry forwards to reduce its tax liability. If in the future the Company undergoes an ownership change exceeding the 50% limitation threshold imposed by Section 382, the Company’s net operating loss carryforwards may be significantly limited as to the amount of use in a particular year. In addition, all or a portion of the Company’s net operating loss carryforwards incurred before 2018, may expire unutilized. The Company has not completed an analysis under Section 382 of the Code, but does not expect it to have a material impact to the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realization of the deferred tax asset is more likely than not to occur, the benefit related to the deductible temporary differences attributable to operations is recognized as a reduction of income tax expense. Valuation allowances are provided against deferred tax assets when, based on all available evidence, it is considered more likely than not that some portion or all of the recorded deferred tax assets will not be realized in future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valuation allowance decreased by approximately $154,000 in the year ended May 31, 2026 primarily due to the enactment of the OBBBA legislation during the period and corresponding reversal of the Company’s related unrecognized tax benefits. The Company’s valuation allowance increased by approximately $104,100 in the year ended May 31, 2025, due to an increase in the Company’s unrecognized tax benefits.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 tax positions are evaluated based on the facts and circumstances that exist at each reporting period. Subsequent changes in judgment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 tax position when it is more-likely-than-not that it will be sustained upon examination by tax authorities.</w:t>
      </w:r>
    </w:p>
    <w:p>
      <w:pPr>
        <w:pStyle w:val="TextBody"/>
        <w:bidi w:val="0"/>
        <w:spacing w:before="0" w:after="0"/>
        <w:ind w:left="0" w:right="0" w:firstLine="360"/>
        <w:jc w:val="both"/>
        <w:rPr>
          <w:caps w:val="false"/>
          <w:smallCaps w:val="false"/>
        </w:rPr>
      </w:pPr>
      <w:r>
        <w:rPr>
          <w:caps w:val="false"/>
          <w:smallCaps w:val="false"/>
        </w:rPr>
        <w:t> </w:t>
      </w:r>
    </w:p>
    <w:tbl>
      <w:tblPr>
        <w:tblW w:w="5780" w:type="dxa"/>
        <w:jc w:val="left"/>
        <w:tblInd w:w="0" w:type="dxa"/>
        <w:tblLayout w:type="fixed"/>
        <w:tblCellMar>
          <w:top w:w="0" w:type="dxa"/>
          <w:left w:w="0" w:type="dxa"/>
          <w:bottom w:w="0" w:type="dxa"/>
          <w:right w:w="0" w:type="dxa"/>
        </w:tblCellMar>
      </w:tblPr>
      <w:tblGrid>
        <w:gridCol w:w="4595"/>
        <w:gridCol w:w="60"/>
        <w:gridCol w:w="140"/>
        <w:gridCol w:w="875"/>
        <w:gridCol w:w="110"/>
      </w:tblGrid>
      <w:tr>
        <w:trPr/>
        <w:tc>
          <w:tcPr>
            <w:tcW w:w="4595" w:type="dxa"/>
            <w:tcBorders/>
            <w:shd w:fill="CCEEFF" w:val="clear"/>
            <w:vAlign w:val="center"/>
          </w:tcPr>
          <w:p>
            <w:pPr>
              <w:pStyle w:val="TableContents"/>
              <w:bidi w:val="0"/>
              <w:spacing w:before="0" w:after="283"/>
              <w:ind w:left="0" w:right="0" w:hanging="200"/>
              <w:jc w:val="left"/>
              <w:rPr/>
            </w:pPr>
            <w:r>
              <w:rPr/>
              <w:t>Unrecognized tax benefits, May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372,544</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595" w:type="dxa"/>
            <w:tcBorders/>
            <w:shd w:fill="FFFFFF" w:val="clear"/>
            <w:vAlign w:val="center"/>
          </w:tcPr>
          <w:p>
            <w:pPr>
              <w:pStyle w:val="TableContents"/>
              <w:bidi w:val="0"/>
              <w:spacing w:before="0" w:after="283"/>
              <w:jc w:val="left"/>
              <w:rPr/>
            </w:pPr>
            <w:r>
              <w:rPr/>
              <w:t>Gross increases – tax positions in current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49,626</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595" w:type="dxa"/>
            <w:tcBorders/>
            <w:shd w:fill="CCEEFF" w:val="clear"/>
            <w:vAlign w:val="center"/>
          </w:tcPr>
          <w:p>
            <w:pPr>
              <w:pStyle w:val="TableContents"/>
              <w:bidi w:val="0"/>
              <w:spacing w:before="0" w:after="283"/>
              <w:jc w:val="left"/>
              <w:rPr/>
            </w:pPr>
            <w:r>
              <w:rPr/>
              <w:t>Unrecognized tax benefits, May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422,170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595" w:type="dxa"/>
            <w:tcBorders/>
            <w:shd w:fill="FFFFFF" w:val="clear"/>
            <w:vAlign w:val="center"/>
          </w:tcPr>
          <w:p>
            <w:pPr>
              <w:pStyle w:val="TableContents"/>
              <w:bidi w:val="0"/>
              <w:spacing w:before="0" w:after="283"/>
              <w:jc w:val="left"/>
              <w:rPr/>
            </w:pPr>
            <w:r>
              <w:rPr/>
              <w:t>Gross decreases – tax positions in current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(422,170</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4595" w:type="dxa"/>
            <w:tcBorders/>
            <w:shd w:fill="CCEEFF" w:val="clear"/>
            <w:vAlign w:val="center"/>
          </w:tcPr>
          <w:p>
            <w:pPr>
              <w:pStyle w:val="TableContents"/>
              <w:bidi w:val="0"/>
              <w:spacing w:before="0" w:after="283"/>
              <w:jc w:val="left"/>
              <w:rPr/>
            </w:pPr>
            <w:r>
              <w:rPr/>
              <w:t>Unrecognized tax benefits, May 31,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increase in unrecognized tax benefits in the year ended May 31, 2025 related to expected current deductions for certain funded research and development expenses subject to interpretations of applicable tax law, in excess of available net operating carryforwards. Income tax expense in the year ended May 31, 2026 reflects the reversal of prior-period provisions for such unrecognized tax benefits. On July 4, 2025, H.R.1, the One Big Beautiful Bill Act (“OBBBA”) was enacted in the United States. The OBBBA eliminates the requirement under Internal Revenue Code Section 174 to capitalize and amortize U.S.-based research and experimental expenditures over five years, making these expenditures fully deductible in the period incurred, among other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policy is to recognize interest expense and penalties related to income tax matters in income tax expense. As of May 31, 2026, accrued interest related to uncertain tax positions is zero. As of May 31, 2025, accrued interest related to uncertain tax positions amounted to $20,483.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13 — INCOME TAXES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subsidiary are subject to U.S. federal and state income tax, and in the normal course of business, its income tax returns are subject to examination by the relevant taxing authorities. As of May 31, 2026, the 2023 to 2026 tax years remained subject to examination. In addition, the years 2015 to 2022 remain open to examination up to the net operating loss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LOSS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common stock equivalents have been excluded from the calculation of loss per share because their effects would be antidilutive:</w:t>
      </w:r>
    </w:p>
    <w:p>
      <w:pPr>
        <w:pStyle w:val="TextBody"/>
        <w:bidi w:val="0"/>
        <w:spacing w:before="0" w:after="0"/>
        <w:ind w:left="0" w:right="0" w:firstLine="360"/>
        <w:jc w:val="both"/>
        <w:rPr>
          <w:caps w:val="false"/>
          <w:smallCaps w:val="false"/>
        </w:rPr>
      </w:pPr>
      <w:r>
        <w:rPr>
          <w:caps w:val="false"/>
          <w:smallCaps w:val="false"/>
        </w:rPr>
        <w:t> </w:t>
      </w:r>
    </w:p>
    <w:tbl>
      <w:tblPr>
        <w:tblW w:w="3510" w:type="dxa"/>
        <w:jc w:val="left"/>
        <w:tblInd w:w="0" w:type="dxa"/>
        <w:tblLayout w:type="fixed"/>
        <w:tblCellMar>
          <w:top w:w="0" w:type="dxa"/>
          <w:left w:w="0" w:type="dxa"/>
          <w:bottom w:w="0" w:type="dxa"/>
          <w:right w:w="0" w:type="dxa"/>
        </w:tblCellMar>
      </w:tblPr>
      <w:tblGrid>
        <w:gridCol w:w="1535"/>
        <w:gridCol w:w="60"/>
        <w:gridCol w:w="60"/>
        <w:gridCol w:w="800"/>
        <w:gridCol w:w="60"/>
        <w:gridCol w:w="60"/>
        <w:gridCol w:w="60"/>
        <w:gridCol w:w="800"/>
        <w:gridCol w:w="75"/>
      </w:tblGrid>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200"/>
              <w:jc w:val="left"/>
              <w:rPr/>
            </w:pPr>
            <w:r>
              <w:rPr/>
              <w:t> </w:t>
            </w:r>
          </w:p>
        </w:tc>
      </w:tr>
      <w:tr>
        <w:trPr/>
        <w:tc>
          <w:tcPr>
            <w:tcW w:w="1535"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441,750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511,950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535" w:type="dxa"/>
            <w:tcBorders/>
            <w:shd w:fill="FFFFFF" w:val="clear"/>
            <w:vAlign w:val="center"/>
          </w:tcPr>
          <w:p>
            <w:pPr>
              <w:pStyle w:val="TableContents"/>
              <w:bidi w:val="0"/>
              <w:spacing w:before="0" w:after="283"/>
              <w:jc w:val="left"/>
              <w:rPr/>
            </w:pPr>
            <w:r>
              <w:rPr/>
              <w:t>Restricted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88,000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shares are issuable under the Company’s convertible notes, the amount of which is dependent on future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DEFINED CONTRIBUTION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401K plan for the benefit of its employees. Company contributions amounted to $10,795 and $5,948 in the years ended May 31, 2026 and 2025, respectively.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revenue and expenses are as follows in the years ended May 31, 2026 and 2025.</w:t>
      </w:r>
    </w:p>
    <w:p>
      <w:pPr>
        <w:pStyle w:val="TextBody"/>
        <w:bidi w:val="0"/>
        <w:spacing w:before="0" w:after="0"/>
        <w:ind w:left="0" w:right="0" w:firstLine="360"/>
        <w:jc w:val="both"/>
        <w:rPr>
          <w:caps w:val="false"/>
          <w:smallCaps w:val="false"/>
        </w:rPr>
      </w:pPr>
      <w:r>
        <w:rPr>
          <w:caps w:val="false"/>
          <w:smallCaps w:val="false"/>
        </w:rPr>
        <w:t> </w:t>
      </w:r>
    </w:p>
    <w:tbl>
      <w:tblPr>
        <w:tblW w:w="5525" w:type="dxa"/>
        <w:jc w:val="left"/>
        <w:tblInd w:w="0" w:type="dxa"/>
        <w:tblLayout w:type="fixed"/>
        <w:tblCellMar>
          <w:top w:w="0" w:type="dxa"/>
          <w:left w:w="0" w:type="dxa"/>
          <w:bottom w:w="0" w:type="dxa"/>
          <w:right w:w="0" w:type="dxa"/>
        </w:tblCellMar>
      </w:tblPr>
      <w:tblGrid>
        <w:gridCol w:w="3065"/>
        <w:gridCol w:w="60"/>
        <w:gridCol w:w="140"/>
        <w:gridCol w:w="980"/>
        <w:gridCol w:w="95"/>
        <w:gridCol w:w="60"/>
        <w:gridCol w:w="140"/>
        <w:gridCol w:w="875"/>
        <w:gridCol w:w="110"/>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190,355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631,729</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065" w:type="dxa"/>
            <w:tcBorders/>
            <w:shd w:fill="FFFFFF" w:val="clear"/>
            <w:vAlign w:val="center"/>
          </w:tcPr>
          <w:p>
            <w:pPr>
              <w:pStyle w:val="TableContents"/>
              <w:bidi w:val="0"/>
              <w:spacing w:before="0" w:after="283"/>
              <w:jc w:val="left"/>
              <w:rPr/>
            </w:pPr>
            <w:r>
              <w:rPr/>
              <w:t>Cost of Service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93,026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065" w:type="dxa"/>
            <w:tcBorders/>
            <w:shd w:fill="FFFFFF" w:val="clear"/>
            <w:vAlign w:val="center"/>
          </w:tcPr>
          <w:p>
            <w:pPr>
              <w:pStyle w:val="TableContents"/>
              <w:bidi w:val="0"/>
              <w:spacing w:before="0" w:after="283"/>
              <w:jc w:val="left"/>
              <w:rPr/>
            </w:pPr>
            <w:r>
              <w:rPr/>
              <w:t>Salaries and benefits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358,023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449,344</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Consultants and contractors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118,052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176,935</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065"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24,312</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Other R&amp;D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4,478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065" w:type="dxa"/>
            <w:tcBorders/>
            <w:shd w:fill="FFFFFF" w:val="clear"/>
            <w:vAlign w:val="center"/>
          </w:tcPr>
          <w:p>
            <w:pPr>
              <w:pStyle w:val="TableContents"/>
              <w:bidi w:val="0"/>
              <w:spacing w:before="0" w:after="283"/>
              <w:jc w:val="left"/>
              <w:rPr/>
            </w:pPr>
            <w:r>
              <w:rPr/>
              <w:t>Total 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480,553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650,591</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065" w:type="dxa"/>
            <w:tcBorders/>
            <w:shd w:fill="FFFFFF" w:val="clear"/>
            <w:vAlign w:val="center"/>
          </w:tcPr>
          <w:p>
            <w:pPr>
              <w:pStyle w:val="TableContents"/>
              <w:bidi w:val="0"/>
              <w:spacing w:before="0" w:after="283"/>
              <w:jc w:val="left"/>
              <w:rPr/>
            </w:pPr>
            <w:r>
              <w:rPr/>
              <w:t>Salaries and benefits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237,874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105,761</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142,300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065" w:type="dxa"/>
            <w:tcBorders/>
            <w:shd w:fill="FFFFFF" w:val="clear"/>
            <w:vAlign w:val="center"/>
          </w:tcPr>
          <w:p>
            <w:pPr>
              <w:pStyle w:val="TableContents"/>
              <w:bidi w:val="0"/>
              <w:spacing w:before="0" w:after="283"/>
              <w:jc w:val="left"/>
              <w:rPr/>
            </w:pPr>
            <w:r>
              <w:rPr/>
              <w:t>Consultants and contractors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818,772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213,509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44,546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44,363</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06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17,408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20,828</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150,526</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065" w:type="dxa"/>
            <w:tcBorders/>
            <w:shd w:fill="FFFFFF" w:val="clear"/>
            <w:vAlign w:val="center"/>
          </w:tcPr>
          <w:p>
            <w:pPr>
              <w:pStyle w:val="TableContents"/>
              <w:bidi w:val="0"/>
              <w:spacing w:before="0" w:after="283"/>
              <w:jc w:val="left"/>
              <w:rPr/>
            </w:pPr>
            <w:r>
              <w:rPr/>
              <w:t>Rent and facilities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57,020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53,483</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Travel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25,896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6,414</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06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51,192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29,504</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Total 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1,395,008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624,388</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065"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1,063,143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119,393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82,046</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065" w:type="dxa"/>
            <w:tcBorders/>
            <w:shd w:fill="FFFFFF" w:val="clear"/>
            <w:vAlign w:val="center"/>
          </w:tcPr>
          <w:p>
            <w:pPr>
              <w:pStyle w:val="TableContents"/>
              <w:bidi w:val="0"/>
              <w:spacing w:before="0" w:after="283"/>
              <w:jc w:val="left"/>
              <w:rPr/>
            </w:pPr>
            <w:r>
              <w:rPr/>
              <w:t>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(174,546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17,939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(659,936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(743,235</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general and administrative expenses include miscellaneous losses, software services, statutory and licensing fees, insurance and office expenses, among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17 — SUBSEQUENT EVENTS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(the “Closing Date”), after obtaining the requisite shareholder approval and satisfying the closing conditions, Aptorum consummated its previously announced merger (the “Closing”) pursuant to that certain Agreement and Plan of Merger on July 14, 2025, (the “Merger Agreement”), between Aptorum and DiamiR Biosciences Corp., a Delaware corporation, pursuant to which, among other matters, Aptorum was to form a direct, wholly owned subsidiary in the state of Delaware (“Merger Sub”).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Merger Agreement and as described in the sections titled “Prospectus Summary” and “The Domestication Proposal” of the Proxy Statement/Prospectus, immediately prior to the Closing on July 20, 2026, Aptorum affected a domestication under Section 388 of the General Corporation Law of the State of Delaware (the “DGCL”) and Section 206 of the Companies Act (as revised) of the Cayman Islands (the “Domestication”), pursuant to which Aptorum transferred by way of continuation to and became a Delaware corporation. On July 20, 2026, immediately following the Domestication, Merger Sub merged with and into DiamiR in accordance with the applicable provisions of the DGCL, with DiamiR continuing as the surviving company and a wholly-owned subsidiary of Aptorum (the “Merger”). As part of the Domestication, Aptorum changed its name to Niki BioSolutions, Inc. and filed Niki’s Certificate of Incorporation with the Delaware Secretary of State, which replaced Aptorum’s memorandum and articles in effect as of such time. In connection with the Merger, the Company’s common stock, par value $0.0001 per share (the “Niki Common Stock”), trades on Nasdaq under the symbol “NIKI”.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Domestication, each then issued and outstanding Class A ordinary share of Aptorum converted automatically, on a one-for-one basis, into a share of Niki’s common stock, par value $0.0001 per share, and each then issued and outstanding Class B ordinary share of Aptorum converted automatically into a share of Niki Common Stock and a share of Niki’s non-voting and non-convertible Series A preferred stock (the “Series A Preferred Stock”). Accordingly, a total of 814,430 shares of Niki Common Stock and 179,693 shares of Series A Preferred Stock, respectively, were issued to Aptorum’s existing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each then-outstanding share of DiamiR’s common stock were converted into a number of shares of Niki Common Stock equal to the Conversion Ratio, which was the number resulting from dividing (i) 0.4102, which is the quotient of dividing the total number of Aptorum ordinary shares on a fully diluted basis by the total number of shares of DiamiR common stock on a fully diluted basis, by (ii) three-seventh (3/7). Accordingly, a total of 1,979,216 shares of Niki Common Stock were issued to current stockholders of DiamiR; no shares of Series A Preferred Stock was issued to any current DiamiR stockholders. In addition, pursuant to the Merger, the outstanding convertible debt of DiamiR was converted into 409,925 pre-acquisition shares of DiamiR, further subject to the Conversion Ratio and reverse split, and were embedded in the 1,979,216 total shares of Niki issued to DiamiR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DiamiR and Aptorum Therapeutics Limited, a wholly owned subsidiary of Aptorum (“Aptorum Therapeutics”), entered into a management services agreement (as amended, the “Management Services Agreement”), which terminated as of the closing of the transaction contemplated by the Merger Agreement. In addition, concurrently with the execution of the Merger Agreement, DiamiR, DiamiR, LLC, a wholly owned subsidiary of DiamiR, Aptorum and Aptorum Therapeutics entered into an intellectual property license agreement (“Licensing Agreement”), pursuant to which DiamiR and DiamiR, LLC shall license on a non-exclusive basis their respective intellectual properties to Aptorum Therapeutics in exchange for upfront and periodic payments and royalties until the earlier of the closing of the Merger or July 31, 2026, and therefore it terminated as of the Closing. The parties also entered into a Voting and Support Agreement, as well as a Stockholder Agreement (collectively with the Management Services Agreement and Licensing Agreement, the “Transaction Documents”), pursuant to which certain parties agreed to vote in favor of certain corporate 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subsequent events through August 21, 2026, the date these financial statements were available to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33" w:name="ea030180301ex99-2.htm"/>
      <w:bookmarkStart w:id="34" w:name="ksea030180301ex992"/>
      <w:bookmarkEnd w:id="33"/>
      <w:bookmarkEnd w:id="34"/>
      <w:r>
        <w:rPr>
          <w:b/>
        </w:rPr>
        <w:t>Exhibit 99.2</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FINANCIAL INFORMATION</w:t>
      </w:r>
    </w:p>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firstLine="4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(the “Closing Date”), after obtaining the requisite shareholder approval and satisfying the closing conditions, Aptorum Group Limited (“Aptorum”) consummated its previously announced merger (the “Closing”) pursuant to that certain Agreement and Plan of Merger dated July 14, 2025 (the “Merger Agreement”), between Aptorum and DiamiR Biosciences Corp., a Delaware corporation (“DiamiR”), pursuant to which, among other matters, Aptorum was to form a direct, wholly owned subsidiary in the state of Delaware (“Merger Sub”).</w:t>
      </w:r>
    </w:p>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firstLine="4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terms of the Merger Agreement and as described in the sections titled “Prospectus Summary” and “The Domestication Proposal” of the Proxy Statement/Prospectus, immediately prior to the Closing on July 20, 2026, Aptorum effected a domestication under Section 388 of the General Corporation Law of the State of Delaware (the “DGCL”) and Section 206 of the Companies Act (as revised) of the Cayman Islands (the “Domestication”), pursuant to which Aptorum transferred by way of continuation to and became a Delaware corporation. On July 20, 2026, immediately following the Domestication, Merger Sub merged with and into DiamiR in accordance with the applicable provisions of the DGCL, with DiamiR continuing as the surviving company and a wholly-owned subsidiary of Aptorum (the “Merger”). As part of the Domestication, Aptorum changed its name to Niki BioSolutions, Inc. (the “Company” or “Niki”) and filed Niki’s Certificate of Incorporation with the Delaware Secretary of State, which replaced Aptorum’s memorandum and articles in effect as of such time. In connection with the Merger, the Company’s common stock, par value $0.0001 per share (the “Niki Common Stock”), trades on Nasdaq under the symbol “NIKI”. In connection with the name change, the CUSIP number for the Niki Common Stock is </w:t>
      </w:r>
      <w:r>
        <w:rPr>
          <w:rFonts w:ascii="Times New Roman;Times;Serif" w:hAnsi="Times New Roman;Times;Serif"/>
          <w:b w:val="false"/>
          <w:i/>
          <w:caps w:val="false"/>
          <w:smallCaps w:val="false"/>
          <w:sz w:val="20"/>
        </w:rPr>
        <w:t>653942 102</w:t>
      </w:r>
      <w:r>
        <w:rPr>
          <w:rFonts w:ascii="Times New Roman;Times;Serif" w:hAnsi="Times New Roman;Times;Serif"/>
          <w:b w:val="false"/>
          <w:i w:val="false"/>
          <w:caps w:val="false"/>
          <w:smallCaps w:val="false"/>
          <w:sz w:val="20"/>
        </w:rPr>
        <w:t>.</w:t>
      </w:r>
    </w:p>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firstLine="4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Domestication, each then issued and outstanding Class A Ordinary share of Aptorum converted automatically, on a one-for-one basis, into a share of Niki Common Stock, and each then issued and outstanding Class B Ordinary share of Aptorum converted automatically into a share of Niki Common Stock and a share of Niki’s non-voting and non-convertible Series A preferred stock (the “Series A Preferred Stock”). Accordingly, a total of 814,430 shares of Niki Common Stock and 179,693 shares of Series A Preferred Stock, respectively, were issued to Aptorum’s existing shareholders.</w:t>
      </w:r>
    </w:p>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firstLine="4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each then-outstanding share of DiamiR common stock was converted into a number of shares of Niki Common Stock equal to the Conversion Ratio, which was the number resulting from dividing (i) 0.4102, which is the quotient of dividing the total number of Aptorum Ordinary shares on a fully diluted basis by the total number of shares of DiamiR common stock on a fully diluted basis, by (ii) three-sevenths (3/7). Accordingly, a total of 1,979,216 shares of Niki Common Stock were issued to current stockholders of DiamiR; no shares of Series A Preferred Stock were issued to any current DiamiR stockholders.</w:t>
      </w:r>
    </w:p>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firstLine="4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DiamiR and Aptorum Therapeutics Limited, a wholly owned subsidiary of Aptorum (“Aptorum Therapeutics”), entered into a management services agreement (as amended, the “Management Services Agreement”), which terminated as of the closing of the transaction contemplated by the Merger Agreement. In addition, concurrently with the execution of the Merger Agreement, DiamiR, DiamiR, LLC, a wholly owned subsidiary of DiamiR, Aptorum and Aptorum Therapeutics entered into an intellectual property license agreement (“Licensing Agreement”), pursuant to which DiamiR and DiamiR, LLC shall license on a non-exclusive basis their respective intellectual properties to Aptorum Therapeutics in exchange for upfront and periodic payments and royalties until the earlier of the closing of the Merger or July 31, 2026, and therefore it terminated as of the Closing. The parties also entered into a Voting and Support Agreement, as well as a Stockholder Agreement (collectively with the Management Services Agreement and Licensing Agreement, the “Transaction Documents”), pursuant to which certain parties agreed to vote in favor of certain corporate actions.</w:t>
      </w:r>
    </w:p>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firstLine="4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20, 2026, Aptorum effectuated a 10 for 1 share consolidation of its authorized share capital, such that every 10 Class A Ordinary Shares, par value of US$0.00001 per share, in the authorized share capital of Aptorum (including issued and unissued share capital) be consolidated into 1 Class A Ordinary Share, par value of US$0.0001 per share, and that every 10 Class B Ordinary Shares, par value of US$0.00001 per share in the authorized share capital of Aptorum (including issued and unissued share capital) be consolidated into 1 Class B Ordinary Share, par value of US$0.0001 per share (the “Share Consolidation” or “Reverse Split”). The Reverse Split was approved by the Company’s shareholders on June 9, 2026 and Aptorum’s board of directors approved implementing the Reverse Split effective as of July 20, 2026. Accordingly, the Reverse Split was effective and the Class A Ordinary Shares began trading on a split-adjusted basis when the market opened on July 20, 2026. Immediately prior to the Reverse Split, there were 6,346,823 Class A Ordinary shares and 1,796,934 Class B Ordinary shares outstanding; immediately following the Reverse Split there were 634,737 Class A Ordinary shares and 179,693 Class B Ordinary shares outstanding. All share and per share amounts presented in these unaudited pro forma condensed combined financial statements have been retroactively adjusted to give effect to the Reverse Split for all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pro forma condensed combined balance sheet as of June 30, 2026 gives effect to the Merger as if it had been consummated on June 30, 2026; and the accompanying unaudited pro forma condensed combined statements of operations for the six months ended June 30, 2026 and for the year ended December 31, 2025 give effect to the Merger as if it had been consummated on January 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balance sheet as of June 30, 2026 combines the historical consolidated balance sheet of Niki as of June 30, 2026 with the historical balance sheet of DiamiR as of May 31, 2026 giving further effect to the pro forma adjustments described in the accompanying “</w:t>
      </w:r>
      <w:r>
        <w:rPr>
          <w:rFonts w:ascii="Times New Roman;Times;Serif" w:hAnsi="Times New Roman;Times;Serif"/>
          <w:b w:val="false"/>
          <w:i/>
          <w:caps w:val="false"/>
          <w:smallCaps w:val="false"/>
          <w:sz w:val="20"/>
        </w:rPr>
        <w:t xml:space="preserve">Notes to Unaudited Pro Forma Condensed Combined Financial Statements” </w:t>
      </w:r>
      <w:r>
        <w:rPr>
          <w:rFonts w:ascii="Times New Roman;Times;Serif" w:hAnsi="Times New Roman;Times;Serif"/>
          <w:b w:val="false"/>
          <w:i w:val="false"/>
          <w:caps w:val="false"/>
          <w:smallCaps w:val="false"/>
          <w:sz w:val="20"/>
        </w:rPr>
        <w:t>as if they had been consummated as of June 30, 2026. DiamiR’s fiscal year ends May 31, which differs from the Company’s December 31 fiscal year end. Accordingly, the unaudited pro forma condensed combined balance sheet combines the Company’s historical balance sheet as of June 30, 2026 with DiamiR’s historical balance sheet as of May 31, 2026. The one-month difference between the respective period ends is within the 93-day interval permitted by Rule 11-02(c)(3) of Regulation S-X, and no adjustment has been made for transactions occurring in the intervening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statement of operations for the six months ended June 30, 2026 combines the historical condensed consolidated statement of operations of Niki for the six months ended June 30, 2026 and the last six months of DiamiR’s fiscal year ended May 31, 2026 (which was derived from the statement of operations for the year ended May 31, 2026 and the condensed statement of operations for the six months ended November 30, 2025), giving effect to the pro forma adjustments described in the accompanying “</w:t>
      </w:r>
      <w:r>
        <w:rPr>
          <w:rFonts w:ascii="Times New Roman;Times;Serif" w:hAnsi="Times New Roman;Times;Serif"/>
          <w:b w:val="false"/>
          <w:i/>
          <w:caps w:val="false"/>
          <w:smallCaps w:val="false"/>
          <w:sz w:val="20"/>
        </w:rPr>
        <w:t>Notes to Unaudited Pro Forma Condensed Combined Financial Statements</w:t>
      </w:r>
      <w:r>
        <w:rPr>
          <w:rFonts w:ascii="Times New Roman;Times;Serif" w:hAnsi="Times New Roman;Times;Serif"/>
          <w:b w:val="false"/>
          <w:i w:val="false"/>
          <w:caps w:val="false"/>
          <w:smallCaps w:val="false"/>
          <w:sz w:val="20"/>
        </w:rPr>
        <w:t>” as if they had been consummated on January 1, 2025, the beginning of the earliest period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statement of operations for the year ended December 31, 2025 combines the historical consolidated statement of operations of Niki for the year ended December 31, 2025 and the historical statements of operations of DiamiR for the twelve months ended November 30, 2025 (consisting of the six months ended November 30, 2025 and the last six months of its fiscal year ended May 31, 2025), giving effect to the pro forma adjustments described in the accompanying “</w:t>
      </w:r>
      <w:r>
        <w:rPr>
          <w:rFonts w:ascii="Times New Roman;Times;Serif" w:hAnsi="Times New Roman;Times;Serif"/>
          <w:b w:val="false"/>
          <w:i/>
          <w:caps w:val="false"/>
          <w:smallCaps w:val="false"/>
          <w:sz w:val="20"/>
        </w:rPr>
        <w:t>Notes to Unaudited Pro Forma Condensed Combined Financial Statements</w:t>
      </w:r>
      <w:r>
        <w:rPr>
          <w:rFonts w:ascii="Times New Roman;Times;Serif" w:hAnsi="Times New Roman;Times;Serif"/>
          <w:b w:val="false"/>
          <w:i w:val="false"/>
          <w:caps w:val="false"/>
          <w:smallCaps w:val="false"/>
          <w:sz w:val="20"/>
        </w:rPr>
        <w:t>” as if they had been consummated on January 1, 2025, the beginning of the earliest period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have been derived from and should be read in connection with:</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0"/>
        <w:gridCol w:w="9973"/>
      </w:tblGrid>
      <w:tr>
        <w:trPr/>
        <w:tc>
          <w:tcPr>
            <w:tcW w:w="4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w:t>
            </w:r>
          </w:p>
        </w:tc>
        <w:tc>
          <w:tcPr>
            <w:tcW w:w="99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accompanying notes to the unaudited pro forma condensed combined financial statements;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historical unaudited condensed consolidated financial statements of Niki as of and for the six months ended June 30, 2026 and the related notes included in its Current Report on Form 8-K filed with the Securities and Exchange Commission on August 21, 2026;</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historical audited consolidated financial statements of Niki as of and for the year ended December 31, 2025 and the related notes included in its Annual Report on Form 20-F for the annual period ended December 31, 2025 filed with the Securities and Exchange Commission on March 27, 2026;</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historical audited financial statements of DiamiR as of and for the year ended May 31, 2026 and the related notes filed as Exhibit 99.1 to this Current Report on Form 8-K/A;</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information relating to Niki and DiamiR contained in reports filed by Niki, as applicable, with the Securities and Exchange Commission under the Securities and Exchange Act of 1934, as amended.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are reasonably expected to occur (“Management’s Adjustments”). These pro forma adjustments were presented in separate columns after the presentation of the combined historical information of the Company and its subsidiaries and DiamiR and its subsidiaries. The Company has elected not to present Management’s Adjustments and will only be presenting Transaction Accounting Adjustments in the unaudited pro forma condensed combined financial information. The unaudited pro forma condensed combined financial information does not reflect future events that may occur after the Merger. The unaudited pro forma condensed combined financial information is provided for informational purposes only and is not necessarily indicative of what the financial position or results of operations of the combined companies would have been had the Merger been completed on the dates indicated, nor is it indicative of the future financial position or results of operations of the combined companies. The pro forma adjustments are subject to material change and are based upon currently available information and certain assumptions that the Company believes are reasonable.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significant accounting policy differences or other items which required adjustment in the accompanying unaudited pro forma condensed combined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br/>
        <w:t>AS OF JUNE 30, 2026</w:t>
        <w:br/>
        <w:t>(In U.S. dollars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4"/>
        <w:gridCol w:w="60"/>
        <w:gridCol w:w="140"/>
        <w:gridCol w:w="1175"/>
        <w:gridCol w:w="95"/>
        <w:gridCol w:w="60"/>
        <w:gridCol w:w="140"/>
        <w:gridCol w:w="1055"/>
        <w:gridCol w:w="95"/>
        <w:gridCol w:w="60"/>
        <w:gridCol w:w="141"/>
        <w:gridCol w:w="1067"/>
        <w:gridCol w:w="95"/>
        <w:gridCol w:w="60"/>
        <w:gridCol w:w="143"/>
        <w:gridCol w:w="1126"/>
        <w:gridCol w:w="95"/>
        <w:gridCol w:w="60"/>
        <w:gridCol w:w="595"/>
        <w:gridCol w:w="60"/>
        <w:gridCol w:w="140"/>
        <w:gridCol w:w="1220"/>
        <w:gridCol w:w="79"/>
      </w:tblGrid>
      <w:tr>
        <w:trPr/>
        <w:tc>
          <w:tcPr>
            <w:tcW w:w="24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Niki</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DiamiR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8" w:type="dxa"/>
            <w:gridSpan w:val="2"/>
            <w:tcBorders/>
            <w:vAlign w:val="center"/>
          </w:tcPr>
          <w:p>
            <w:pPr>
              <w:pStyle w:val="TableContents"/>
              <w:bidi w:val="0"/>
              <w:spacing w:before="0" w:after="283"/>
              <w:jc w:val="center"/>
              <w:rPr>
                <w:b/>
              </w:rPr>
            </w:pPr>
            <w:r>
              <w:rPr>
                <w:b/>
              </w:rPr>
              <w:t>Conversion of notes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9" w:type="dxa"/>
            <w:gridSpan w:val="2"/>
            <w:tcBorders/>
            <w:vAlign w:val="center"/>
          </w:tcPr>
          <w:p>
            <w:pPr>
              <w:pStyle w:val="TableContents"/>
              <w:bidi w:val="0"/>
              <w:spacing w:before="0" w:after="283"/>
              <w:jc w:val="center"/>
              <w:rPr>
                <w:b/>
              </w:rPr>
            </w:pPr>
            <w:r>
              <w:rPr>
                <w:b/>
              </w:rPr>
              <w:t>Acquisition</w:t>
              <w:br/>
              <w:t>Transaction accounting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Pro Forma</w:t>
            </w:r>
          </w:p>
        </w:tc>
        <w:tc>
          <w:tcPr>
            <w:tcW w:w="79" w:type="dxa"/>
            <w:tcBorders/>
            <w:vAlign w:val="center"/>
          </w:tcPr>
          <w:p>
            <w:pPr>
              <w:pStyle w:val="TableContents"/>
              <w:bidi w:val="0"/>
              <w:spacing w:before="0" w:after="283"/>
              <w:jc w:val="left"/>
              <w:rPr/>
            </w:pPr>
            <w:r>
              <w:rPr/>
              <w:t> </w:t>
            </w:r>
          </w:p>
        </w:tc>
      </w:tr>
      <w:tr>
        <w:trPr/>
        <w:tc>
          <w:tcPr>
            <w:tcW w:w="24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6/30/2026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5/31/2026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payable (a)</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Combined</w:t>
            </w:r>
          </w:p>
        </w:tc>
        <w:tc>
          <w:tcPr>
            <w:tcW w:w="79" w:type="dxa"/>
            <w:tcBorders/>
            <w:vAlign w:val="center"/>
          </w:tcPr>
          <w:p>
            <w:pPr>
              <w:pStyle w:val="TableContents"/>
              <w:bidi w:val="0"/>
              <w:spacing w:before="0" w:after="283"/>
              <w:jc w:val="left"/>
              <w:rPr/>
            </w:pPr>
            <w:r>
              <w:rPr/>
              <w:t> </w:t>
            </w:r>
          </w:p>
        </w:tc>
      </w:tr>
      <w:tr>
        <w:trPr/>
        <w:tc>
          <w:tcPr>
            <w:tcW w:w="24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ind w:left="0" w:right="0" w:hanging="180"/>
              <w:jc w:val="left"/>
              <w:rPr/>
            </w:pPr>
            <w:r>
              <w:rPr/>
              <w:t> </w:t>
            </w:r>
          </w:p>
        </w:tc>
      </w:tr>
      <w:tr>
        <w:trPr/>
        <w:tc>
          <w:tcPr>
            <w:tcW w:w="2444" w:type="dxa"/>
            <w:tcBorders/>
            <w:shd w:fill="CCEEFF" w:val="clear"/>
            <w:vAlign w:val="center"/>
          </w:tcPr>
          <w:p>
            <w:pPr>
              <w:pStyle w:val="TableContents"/>
              <w:bidi w:val="0"/>
              <w:spacing w:before="0" w:after="283"/>
              <w:jc w:val="left"/>
              <w:rPr/>
            </w:pPr>
            <w:r>
              <w:rPr/>
              <w:t>Cash and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1,834,171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112,690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0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1,946,861</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2444"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212,400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(212,400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center"/>
              <w:rPr/>
            </w:pPr>
            <w:r>
              <w:rPr/>
              <w:t>(h)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2444"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200,909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20,160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CCEEFF" w:val="clear"/>
            <w:tcMar>
              <w:bottom w:w="28" w:type="dxa"/>
            </w:tcMar>
            <w:vAlign w:val="center"/>
          </w:tcPr>
          <w:p>
            <w:pPr>
              <w:pStyle w:val="TableContents"/>
              <w:bidi w:val="0"/>
              <w:spacing w:before="0" w:after="283"/>
              <w:jc w:val="right"/>
              <w:rPr/>
            </w:pPr>
            <w:r>
              <w:rPr/>
              <w:t>(65,000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center"/>
              <w:rPr/>
            </w:pPr>
            <w:r>
              <w:rPr/>
              <w:t>(h)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156,069</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2444"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2,035,080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345,250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(277,400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2,102,930</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2444" w:type="dxa"/>
            <w:tcBorders/>
            <w:shd w:fill="CCEEFF" w:val="clear"/>
            <w:vAlign w:val="center"/>
          </w:tcPr>
          <w:p>
            <w:pPr>
              <w:pStyle w:val="TableContents"/>
              <w:bidi w:val="0"/>
              <w:spacing w:before="0" w:after="283"/>
              <w:jc w:val="left"/>
              <w:rPr/>
            </w:pPr>
            <w:r>
              <w:rPr/>
              <w:t>Long-term investments,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15,098,846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15,098,846</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2444"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75,067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75,067</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2444"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8,244,000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center"/>
              <w:rPr/>
            </w:pPr>
            <w:r>
              <w:rPr/>
              <w:t>(b)</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8,244,000</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2444" w:type="dxa"/>
            <w:tcBorders/>
            <w:shd w:fill="FFFFFF" w:val="clear"/>
            <w:vAlign w:val="center"/>
          </w:tcPr>
          <w:p>
            <w:pPr>
              <w:pStyle w:val="TableContents"/>
              <w:bidi w:val="0"/>
              <w:spacing w:before="0" w:after="283"/>
              <w:jc w:val="left"/>
              <w:rPr/>
            </w:pPr>
            <w:r>
              <w:rPr/>
              <w:t>In-process 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6,780,200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center"/>
              <w:rPr/>
            </w:pPr>
            <w:r>
              <w:rPr/>
              <w:t>(b)</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6,780,200</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2444" w:type="dxa"/>
            <w:tcBorders/>
            <w:shd w:fill="CCEEFF" w:val="clear"/>
            <w:vAlign w:val="center"/>
          </w:tcPr>
          <w:p>
            <w:pPr>
              <w:pStyle w:val="TableContents"/>
              <w:bidi w:val="0"/>
              <w:spacing w:before="0" w:after="283"/>
              <w:jc w:val="left"/>
              <w:rPr/>
            </w:pPr>
            <w:r>
              <w:rPr/>
              <w:t>Tradename-trademark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1,584,800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center"/>
              <w:rPr/>
            </w:pPr>
            <w:r>
              <w:rPr/>
              <w:t>(b)</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1,584,800</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2444" w:type="dxa"/>
            <w:tcBorders/>
            <w:shd w:fill="FFFFFF" w:val="clear"/>
            <w:vAlign w:val="center"/>
          </w:tcPr>
          <w:p>
            <w:pPr>
              <w:pStyle w:val="TableContents"/>
              <w:bidi w:val="0"/>
              <w:spacing w:before="0" w:after="283"/>
              <w:jc w:val="left"/>
              <w:rPr/>
            </w:pPr>
            <w:r>
              <w:rPr/>
              <w:t>Other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197,761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center"/>
              <w:rPr/>
            </w:pPr>
            <w:r>
              <w:rPr/>
              <w:t>(b)</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197,761</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2444"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CCEEFF" w:val="clear"/>
            <w:tcMar>
              <w:bottom w:w="28" w:type="dxa"/>
            </w:tcMar>
            <w:vAlign w:val="center"/>
          </w:tcPr>
          <w:p>
            <w:pPr>
              <w:pStyle w:val="TableContents"/>
              <w:bidi w:val="0"/>
              <w:spacing w:before="0" w:after="283"/>
              <w:jc w:val="right"/>
              <w:rPr/>
            </w:pPr>
            <w:r>
              <w:rPr/>
              <w:t>1,082,230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center"/>
              <w:rPr/>
            </w:pPr>
            <w:r>
              <w:rPr/>
              <w:t>(b)</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1,082,230</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2444"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17,133,926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618,078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6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26" w:type="dxa"/>
            <w:tcBorders>
              <w:bottom w:val="single" w:sz="12" w:space="0" w:color="000000"/>
            </w:tcBorders>
            <w:shd w:fill="FFFFFF" w:val="clear"/>
            <w:tcMar>
              <w:bottom w:w="28" w:type="dxa"/>
            </w:tcMar>
            <w:vAlign w:val="center"/>
          </w:tcPr>
          <w:p>
            <w:pPr>
              <w:pStyle w:val="TableContents"/>
              <w:bidi w:val="0"/>
              <w:spacing w:before="0" w:after="283"/>
              <w:jc w:val="right"/>
              <w:rPr/>
            </w:pPr>
            <w:r>
              <w:rPr/>
              <w:t>17,413,830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35,165,834</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24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2444" w:type="dxa"/>
            <w:tcBorders/>
            <w:shd w:fill="FFFFFF" w:val="clear"/>
            <w:vAlign w:val="center"/>
          </w:tcPr>
          <w:p>
            <w:pPr>
              <w:pStyle w:val="TableContents"/>
              <w:bidi w:val="0"/>
              <w:spacing w:before="0" w:after="283"/>
              <w:jc w:val="left"/>
              <w:rPr/>
            </w:pPr>
            <w:r>
              <w:rPr/>
              <w:t>Amounts due to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79,180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0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11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79,180</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2444"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922,818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759,989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(106,000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center"/>
              <w:rPr/>
            </w:pPr>
            <w:r>
              <w:rPr/>
              <w:t>(h)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1,576,807</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2444" w:type="dxa"/>
            <w:tcBorders/>
            <w:shd w:fill="FFFFFF" w:val="clear"/>
            <w:vAlign w:val="center"/>
          </w:tcPr>
          <w:p>
            <w:pPr>
              <w:pStyle w:val="TableContents"/>
              <w:bidi w:val="0"/>
              <w:spacing w:before="0" w:after="283"/>
              <w:jc w:val="left"/>
              <w:rPr/>
            </w:pPr>
            <w:r>
              <w:rPr/>
              <w:t>Loan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(65,000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center"/>
              <w:rPr/>
            </w:pPr>
            <w:r>
              <w:rPr/>
              <w:t>(h)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2444" w:type="dxa"/>
            <w:tcBorders/>
            <w:shd w:fill="CCEEFF" w:val="clear"/>
            <w:vAlign w:val="center"/>
          </w:tcPr>
          <w:p>
            <w:pPr>
              <w:pStyle w:val="TableContents"/>
              <w:bidi w:val="0"/>
              <w:spacing w:before="0" w:after="283"/>
              <w:jc w:val="left"/>
              <w:rPr/>
            </w:pPr>
            <w:r>
              <w:rPr/>
              <w:t>Lease liability,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42,664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42,664</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2444"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10,000</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2444" w:type="dxa"/>
            <w:tcBorders/>
            <w:shd w:fill="CCEEFF" w:val="clear"/>
            <w:vAlign w:val="center"/>
          </w:tcPr>
          <w:p>
            <w:pPr>
              <w:pStyle w:val="TableContents"/>
              <w:bidi w:val="0"/>
              <w:spacing w:before="0" w:after="283"/>
              <w:jc w:val="left"/>
              <w:rPr/>
            </w:pPr>
            <w:r>
              <w:rPr/>
              <w:t>Convertible notes to a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3,508,500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1,314,150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7" w:type="dxa"/>
            <w:tcBorders>
              <w:bottom w:val="single" w:sz="12" w:space="0" w:color="000000"/>
            </w:tcBorders>
            <w:shd w:fill="CCEEFF" w:val="clear"/>
            <w:tcMar>
              <w:bottom w:w="28" w:type="dxa"/>
            </w:tcMar>
            <w:vAlign w:val="center"/>
          </w:tcPr>
          <w:p>
            <w:pPr>
              <w:pStyle w:val="TableContents"/>
              <w:bidi w:val="0"/>
              <w:spacing w:before="0" w:after="283"/>
              <w:jc w:val="right"/>
              <w:rPr/>
            </w:pPr>
            <w:r>
              <w:rPr/>
              <w:t>(4,822,650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2444"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4,510,498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2,191,803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(4,822,650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(171,000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1,708,651</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2444" w:type="dxa"/>
            <w:tcBorders/>
            <w:shd w:fill="CCEEFF" w:val="clear"/>
            <w:vAlign w:val="center"/>
          </w:tcPr>
          <w:p>
            <w:pPr>
              <w:pStyle w:val="TableContents"/>
              <w:bidi w:val="0"/>
              <w:spacing w:before="0" w:after="283"/>
              <w:jc w:val="left"/>
              <w:rPr/>
            </w:pPr>
            <w:r>
              <w:rPr/>
              <w:t>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142,000</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2444" w:type="dxa"/>
            <w:tcBorders/>
            <w:shd w:fill="FFFFFF" w:val="clear"/>
            <w:vAlign w:val="center"/>
          </w:tcPr>
          <w:p>
            <w:pPr>
              <w:pStyle w:val="TableContents"/>
              <w:bidi w:val="0"/>
              <w:spacing w:before="0" w:after="283"/>
              <w:jc w:val="left"/>
              <w:rPr/>
            </w:pPr>
            <w:r>
              <w:rPr/>
              <w:t>Lease liability, noncurrent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20,178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20,178</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2444"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4,652,498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2,111,981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7" w:type="dxa"/>
            <w:tcBorders>
              <w:bottom w:val="single" w:sz="12" w:space="0" w:color="000000"/>
            </w:tcBorders>
            <w:shd w:fill="CCEEFF" w:val="clear"/>
            <w:tcMar>
              <w:bottom w:w="28" w:type="dxa"/>
            </w:tcMar>
            <w:vAlign w:val="center"/>
          </w:tcPr>
          <w:p>
            <w:pPr>
              <w:pStyle w:val="TableContents"/>
              <w:bidi w:val="0"/>
              <w:spacing w:before="0" w:after="283"/>
              <w:jc w:val="right"/>
              <w:rPr/>
            </w:pPr>
            <w:r>
              <w:rPr/>
              <w:t>(4,822,650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CCEEFF" w:val="clear"/>
            <w:tcMar>
              <w:bottom w:w="28" w:type="dxa"/>
            </w:tcMar>
            <w:vAlign w:val="center"/>
          </w:tcPr>
          <w:p>
            <w:pPr>
              <w:pStyle w:val="TableContents"/>
              <w:bidi w:val="0"/>
              <w:spacing w:before="0" w:after="283"/>
              <w:jc w:val="right"/>
              <w:rPr/>
            </w:pPr>
            <w:r>
              <w:rPr/>
              <w:t>(171,000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1,870,829</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24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2444" w:type="dxa"/>
            <w:tcBorders/>
            <w:shd w:fill="CCEEFF" w:val="clear"/>
            <w:vAlign w:val="center"/>
          </w:tcPr>
          <w:p>
            <w:pPr>
              <w:pStyle w:val="TableContents"/>
              <w:bidi w:val="0"/>
              <w:spacing w:before="0" w:after="283"/>
              <w:jc w:val="left"/>
              <w:rPr/>
            </w:pPr>
            <w:r>
              <w:rPr/>
              <w:t>Contingently redeemable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47,000</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24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2444" w:type="dxa"/>
            <w:tcBorders/>
            <w:shd w:fill="CCEEFF" w:val="clear"/>
            <w:vAlign w:val="center"/>
          </w:tcPr>
          <w:p>
            <w:pPr>
              <w:pStyle w:val="TableContents"/>
              <w:bidi w:val="0"/>
              <w:spacing w:before="0" w:after="283"/>
              <w:jc w:val="left"/>
              <w:rPr/>
            </w:pPr>
            <w:r>
              <w:rPr/>
              <w:t>Preferred Stock, $0.0001 par value, 10,000,000 shares authorized; Series A Preferred Stock, 1,810,000 shares designated, 0 shares issued and outstanding as of June 30, 2026; 179,693 shares issued and outstanding pro forma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center"/>
              <w:rPr/>
            </w:pPr>
            <w:r>
              <w:rPr/>
              <w:t>(d)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2444" w:type="dxa"/>
            <w:tcBorders/>
            <w:shd w:fill="FFFFFF" w:val="clear"/>
            <w:vAlign w:val="center"/>
          </w:tcPr>
          <w:p>
            <w:pPr>
              <w:pStyle w:val="TableContents"/>
              <w:bidi w:val="0"/>
              <w:spacing w:before="0" w:after="283"/>
              <w:jc w:val="left"/>
              <w:rPr/>
            </w:pPr>
            <w:r>
              <w:rPr/>
              <w:t>Common Stock, $0.0001 par value, 150,000,000 shares authorized; 0 shares issued and outstanding as of June 30, 2026; 2,938,625 shares issued and outstanding pro forma (e)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294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center"/>
              <w:rPr/>
            </w:pPr>
            <w:r>
              <w:rPr/>
              <w:t>(b) (d)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294</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2444" w:type="dxa"/>
            <w:tcBorders/>
            <w:shd w:fill="CCEEFF" w:val="clear"/>
            <w:vAlign w:val="center"/>
          </w:tcPr>
          <w:p>
            <w:pPr>
              <w:pStyle w:val="TableContents"/>
              <w:bidi w:val="0"/>
              <w:spacing w:before="0" w:after="283"/>
              <w:jc w:val="left"/>
              <w:rPr/>
            </w:pPr>
            <w:r>
              <w:rPr/>
              <w:t>Class A Ordinary Shares, $0.0001 par value, 999,999,600 shares authorized; 634,737 shares issued and outstanding as of June 30, 2026; 0 shares issued and outstanding pro forma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center"/>
              <w:rPr/>
            </w:pPr>
            <w:r>
              <w:rPr/>
              <w:t>(b)</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2444" w:type="dxa"/>
            <w:tcBorders/>
            <w:shd w:fill="FFFFFF" w:val="clear"/>
            <w:vAlign w:val="center"/>
          </w:tcPr>
          <w:p>
            <w:pPr>
              <w:pStyle w:val="TableContents"/>
              <w:bidi w:val="0"/>
              <w:spacing w:before="0" w:after="283"/>
              <w:jc w:val="left"/>
              <w:rPr/>
            </w:pPr>
            <w:r>
              <w:rPr/>
              <w:t>Class B Ordinary Shares, $0.0001 par value; 400,000 shares authorized, 179,693 shares issued and outstanding as of June 30, 2026; 0 shares issued and outstanding pro forma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center"/>
              <w:rPr/>
            </w:pPr>
            <w:r>
              <w:rPr/>
              <w:t>(d)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2444" w:type="dxa"/>
            <w:tcBorders/>
            <w:shd w:fill="CCEEFF" w:val="clear"/>
            <w:vAlign w:val="center"/>
          </w:tcPr>
          <w:p>
            <w:pPr>
              <w:pStyle w:val="TableContents"/>
              <w:bidi w:val="0"/>
              <w:spacing w:before="0" w:after="283"/>
              <w:jc w:val="left"/>
              <w:rPr/>
            </w:pPr>
            <w:r>
              <w:rPr/>
              <w:t>Common stock, $0.001 par value; 100,000,000 shares authorized; 4,440,891 shares issued and outstanding at May 31,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(4,441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center"/>
              <w:rPr/>
            </w:pPr>
            <w:r>
              <w:rPr/>
              <w:t>(b)</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2444"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97,000,188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4,884,163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4,822,636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11,777,946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center"/>
              <w:rPr/>
            </w:pPr>
            <w:r>
              <w:rPr/>
              <w:t>(b) (c) (d)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118,484,933</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2444"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(95,129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(95,129</w:t>
            </w:r>
          </w:p>
        </w:tc>
        <w:tc>
          <w:tcPr>
            <w:tcW w:w="79" w:type="dxa"/>
            <w:tcBorders/>
            <w:shd w:fill="CCEEFF" w:val="clear"/>
            <w:vAlign w:val="center"/>
          </w:tcPr>
          <w:p>
            <w:pPr>
              <w:pStyle w:val="TableContents"/>
              <w:bidi w:val="0"/>
              <w:spacing w:before="0" w:after="283"/>
              <w:ind w:left="0" w:right="0" w:hanging="180"/>
              <w:jc w:val="left"/>
              <w:rPr/>
            </w:pPr>
            <w:r>
              <w:rPr/>
              <w:t>)</w:t>
            </w:r>
          </w:p>
        </w:tc>
      </w:tr>
      <w:tr>
        <w:trPr/>
        <w:tc>
          <w:tcPr>
            <w:tcW w:w="2444"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(75,118,802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(6,482,507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FFFFFF" w:val="clear"/>
            <w:tcMar>
              <w:bottom w:w="28" w:type="dxa"/>
            </w:tcMar>
            <w:vAlign w:val="center"/>
          </w:tcPr>
          <w:p>
            <w:pPr>
              <w:pStyle w:val="TableContents"/>
              <w:bidi w:val="0"/>
              <w:spacing w:before="0" w:after="283"/>
              <w:jc w:val="right"/>
              <w:rPr/>
            </w:pPr>
            <w:r>
              <w:rPr/>
              <w:t>5,876,107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center"/>
              <w:rPr/>
            </w:pPr>
            <w:r>
              <w:rPr/>
              <w:t>(b) (c) (h)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(75,725,202</w:t>
            </w:r>
          </w:p>
        </w:tc>
        <w:tc>
          <w:tcPr>
            <w:tcW w:w="79" w:type="dxa"/>
            <w:tcBorders/>
            <w:shd w:fill="FFFFFF" w:val="clear"/>
            <w:vAlign w:val="center"/>
          </w:tcPr>
          <w:p>
            <w:pPr>
              <w:pStyle w:val="TableContents"/>
              <w:bidi w:val="0"/>
              <w:spacing w:before="0" w:after="283"/>
              <w:ind w:left="0" w:right="0" w:hanging="180"/>
              <w:jc w:val="left"/>
              <w:rPr/>
            </w:pPr>
            <w:r>
              <w:rPr/>
              <w:t>)</w:t>
            </w:r>
          </w:p>
        </w:tc>
      </w:tr>
      <w:tr>
        <w:trPr/>
        <w:tc>
          <w:tcPr>
            <w:tcW w:w="2444" w:type="dxa"/>
            <w:tcBorders/>
            <w:shd w:fill="CCEEFF" w:val="clear"/>
            <w:vAlign w:val="center"/>
          </w:tcPr>
          <w:p>
            <w:pPr>
              <w:pStyle w:val="TableContents"/>
              <w:bidi w:val="0"/>
              <w:spacing w:before="0" w:after="283"/>
              <w:jc w:val="left"/>
              <w:rPr/>
            </w:pPr>
            <w:r>
              <w:rPr/>
              <w:t>Total equity attributable to the shareholders of Niki BioSolutions, Inc.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21,786,337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(1,593,903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4,822,650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17,649,830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42,664,914</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2444"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(9,351,909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(9,351,909</w:t>
            </w:r>
          </w:p>
        </w:tc>
        <w:tc>
          <w:tcPr>
            <w:tcW w:w="79" w:type="dxa"/>
            <w:tcBorders/>
            <w:shd w:fill="FFFFFF" w:val="clear"/>
            <w:vAlign w:val="center"/>
          </w:tcPr>
          <w:p>
            <w:pPr>
              <w:pStyle w:val="TableContents"/>
              <w:bidi w:val="0"/>
              <w:spacing w:before="0" w:after="283"/>
              <w:ind w:left="0" w:right="0" w:hanging="180"/>
              <w:jc w:val="left"/>
              <w:rPr/>
            </w:pPr>
            <w:r>
              <w:rPr/>
              <w:t>)</w:t>
            </w:r>
          </w:p>
        </w:tc>
      </w:tr>
      <w:tr>
        <w:trPr/>
        <w:tc>
          <w:tcPr>
            <w:tcW w:w="2444" w:type="dxa"/>
            <w:tcBorders/>
            <w:shd w:fill="CCEEFF" w:val="clear"/>
            <w:vAlign w:val="center"/>
          </w:tcPr>
          <w:p>
            <w:pPr>
              <w:pStyle w:val="TableContents"/>
              <w:bidi w:val="0"/>
              <w:spacing w:before="0" w:after="283"/>
              <w:jc w:val="left"/>
              <w:rPr/>
            </w:pPr>
            <w:r>
              <w:rPr/>
              <w:t>Total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12,434,428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(1,593,903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7" w:type="dxa"/>
            <w:tcBorders>
              <w:bottom w:val="single" w:sz="12" w:space="0" w:color="000000"/>
            </w:tcBorders>
            <w:shd w:fill="CCEEFF" w:val="clear"/>
            <w:tcMar>
              <w:bottom w:w="28" w:type="dxa"/>
            </w:tcMar>
            <w:vAlign w:val="center"/>
          </w:tcPr>
          <w:p>
            <w:pPr>
              <w:pStyle w:val="TableContents"/>
              <w:bidi w:val="0"/>
              <w:spacing w:before="0" w:after="283"/>
              <w:jc w:val="right"/>
              <w:rPr/>
            </w:pPr>
            <w:r>
              <w:rPr/>
              <w:t>4,822,650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CCEEFF" w:val="clear"/>
            <w:tcMar>
              <w:bottom w:w="28" w:type="dxa"/>
            </w:tcMar>
            <w:vAlign w:val="center"/>
          </w:tcPr>
          <w:p>
            <w:pPr>
              <w:pStyle w:val="TableContents"/>
              <w:bidi w:val="0"/>
              <w:spacing w:before="0" w:after="283"/>
              <w:jc w:val="right"/>
              <w:rPr/>
            </w:pPr>
            <w:r>
              <w:rPr/>
              <w:t>17,649,830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33,313,005</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2444" w:type="dxa"/>
            <w:tcBorders/>
            <w:shd w:fill="FFFFFF" w:val="clear"/>
            <w:vAlign w:val="center"/>
          </w:tcPr>
          <w:p>
            <w:pPr>
              <w:pStyle w:val="TableContents"/>
              <w:bidi w:val="0"/>
              <w:spacing w:before="0" w:after="283"/>
              <w:jc w:val="left"/>
              <w:rPr/>
            </w:pPr>
            <w:r>
              <w:rPr/>
              <w:t>Total Liabilities, Temporary Equity and 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17,133,926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618,078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67"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26" w:type="dxa"/>
            <w:tcBorders>
              <w:bottom w:val="double" w:sz="10" w:space="0" w:color="000000"/>
            </w:tcBorders>
            <w:shd w:fill="FFFFFF" w:val="clear"/>
            <w:tcMar>
              <w:bottom w:w="28" w:type="dxa"/>
            </w:tcMar>
            <w:vAlign w:val="center"/>
          </w:tcPr>
          <w:p>
            <w:pPr>
              <w:pStyle w:val="TableContents"/>
              <w:bidi w:val="0"/>
              <w:spacing w:before="0" w:after="283"/>
              <w:jc w:val="right"/>
              <w:rPr/>
            </w:pPr>
            <w:r>
              <w:rPr/>
              <w:t>17,478,830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35,230,834</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br/>
        <w:t>FOR THE SIX MONTHS ENDED JUNE 30, 2026</w:t>
        <w:br/>
        <w:t>(In U.S. dollars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3"/>
        <w:gridCol w:w="60"/>
        <w:gridCol w:w="140"/>
        <w:gridCol w:w="1055"/>
        <w:gridCol w:w="95"/>
        <w:gridCol w:w="60"/>
        <w:gridCol w:w="140"/>
        <w:gridCol w:w="980"/>
        <w:gridCol w:w="95"/>
        <w:gridCol w:w="60"/>
        <w:gridCol w:w="180"/>
        <w:gridCol w:w="1129"/>
        <w:gridCol w:w="60"/>
        <w:gridCol w:w="60"/>
        <w:gridCol w:w="194"/>
        <w:gridCol w:w="1222"/>
        <w:gridCol w:w="95"/>
        <w:gridCol w:w="60"/>
        <w:gridCol w:w="590"/>
        <w:gridCol w:w="60"/>
        <w:gridCol w:w="140"/>
        <w:gridCol w:w="1055"/>
        <w:gridCol w:w="112"/>
      </w:tblGrid>
      <w:tr>
        <w:trPr/>
        <w:tc>
          <w:tcPr>
            <w:tcW w:w="256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Niki</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DiamiR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Conversion of notes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Acquisition</w:t>
              <w:br/>
              <w:t>Transaction accounting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w:t>
            </w:r>
          </w:p>
        </w:tc>
        <w:tc>
          <w:tcPr>
            <w:tcW w:w="112" w:type="dxa"/>
            <w:tcBorders/>
            <w:vAlign w:val="center"/>
          </w:tcPr>
          <w:p>
            <w:pPr>
              <w:pStyle w:val="TableContents"/>
              <w:bidi w:val="0"/>
              <w:spacing w:before="0" w:after="283"/>
              <w:jc w:val="left"/>
              <w:rPr/>
            </w:pPr>
            <w:r>
              <w:rPr/>
              <w:t> </w:t>
            </w:r>
          </w:p>
        </w:tc>
      </w:tr>
      <w:tr>
        <w:trPr/>
        <w:tc>
          <w:tcPr>
            <w:tcW w:w="256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6/30/2026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5/31/2026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payable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Combined</w:t>
            </w:r>
          </w:p>
        </w:tc>
        <w:tc>
          <w:tcPr>
            <w:tcW w:w="112" w:type="dxa"/>
            <w:tcBorders/>
            <w:vAlign w:val="center"/>
          </w:tcPr>
          <w:p>
            <w:pPr>
              <w:pStyle w:val="TableContents"/>
              <w:bidi w:val="0"/>
              <w:spacing w:before="0" w:after="283"/>
              <w:jc w:val="left"/>
              <w:rPr/>
            </w:pPr>
            <w:r>
              <w:rPr/>
              <w:t> </w:t>
            </w:r>
          </w:p>
        </w:tc>
      </w:tr>
      <w:tr>
        <w:trPr/>
        <w:tc>
          <w:tcPr>
            <w:tcW w:w="25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ind w:left="0" w:right="0" w:hanging="180"/>
              <w:jc w:val="left"/>
              <w:rPr/>
            </w:pPr>
            <w:r>
              <w:rPr/>
              <w:t> </w:t>
            </w:r>
          </w:p>
        </w:tc>
      </w:tr>
      <w:tr>
        <w:trPr/>
        <w:tc>
          <w:tcPr>
            <w:tcW w:w="2563"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29"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60,000</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25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2563" w:type="dxa"/>
            <w:tcBorders/>
            <w:shd w:fill="CCEEFF" w:val="clear"/>
            <w:vAlign w:val="center"/>
          </w:tcPr>
          <w:p>
            <w:pPr>
              <w:pStyle w:val="TableContents"/>
              <w:bidi w:val="0"/>
              <w:spacing w:before="0" w:after="283"/>
              <w:jc w:val="left"/>
              <w:rPr/>
            </w:pPr>
            <w:r>
              <w:rPr/>
              <w:t>Operating costs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2563" w:type="dxa"/>
            <w:tcBorders/>
            <w:shd w:fill="FFFFFF" w:val="clear"/>
            <w:vAlign w:val="center"/>
          </w:tcPr>
          <w:p>
            <w:pPr>
              <w:pStyle w:val="TableContents"/>
              <w:bidi w:val="0"/>
              <w:spacing w:before="0" w:after="283"/>
              <w:jc w:val="left"/>
              <w:rPr/>
            </w:pPr>
            <w:r>
              <w:rPr/>
              <w:t>Cost of service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2563"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(383,752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(283,524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(667,276</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2563" w:type="dxa"/>
            <w:tcBorders/>
            <w:shd w:fill="FFFFFF" w:val="clear"/>
            <w:vAlign w:val="center"/>
          </w:tcPr>
          <w:p>
            <w:pPr>
              <w:pStyle w:val="TableContents"/>
              <w:bidi w:val="0"/>
              <w:spacing w:before="0" w:after="283"/>
              <w:jc w:val="left"/>
              <w:rPr/>
            </w:pPr>
            <w:r>
              <w:rPr/>
              <w:t>General and administrative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(1,030,808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(618,716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654,505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(1,622,519</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25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CCEEFF" w:val="clear"/>
            <w:tcMar>
              <w:bottom w:w="28" w:type="dxa"/>
            </w:tcMar>
            <w:vAlign w:val="center"/>
          </w:tcPr>
          <w:p>
            <w:pPr>
              <w:pStyle w:val="TableContents"/>
              <w:bidi w:val="0"/>
              <w:spacing w:before="0" w:after="283"/>
              <w:jc w:val="right"/>
              <w:rPr/>
            </w:pPr>
            <w:r>
              <w:rPr/>
              <w:t>(627,500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(i)</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2563"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(1,414,560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(902,250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27,005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(2,289,805</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25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2563"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654,505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(654,505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2563" w:type="dxa"/>
            <w:tcBorders/>
            <w:shd w:fill="CCEEFF" w:val="clear"/>
            <w:vAlign w:val="center"/>
          </w:tcPr>
          <w:p>
            <w:pPr>
              <w:pStyle w:val="TableContents"/>
              <w:bidi w:val="0"/>
              <w:spacing w:before="0" w:after="283"/>
              <w:jc w:val="left"/>
              <w:rPr/>
            </w:pPr>
            <w:r>
              <w:rPr/>
              <w:t>Interest (expense) income,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(56,740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(62,236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152,236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33,260</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2563"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164,000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164,000</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2563"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107,260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592,269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CCEEFF" w:val="clear"/>
            <w:tcMar>
              <w:bottom w:w="28" w:type="dxa"/>
            </w:tcMar>
            <w:vAlign w:val="center"/>
          </w:tcPr>
          <w:p>
            <w:pPr>
              <w:pStyle w:val="TableContents"/>
              <w:bidi w:val="0"/>
              <w:spacing w:before="0" w:after="283"/>
              <w:jc w:val="right"/>
              <w:rPr/>
            </w:pPr>
            <w:r>
              <w:rPr/>
              <w:t>(502,269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197,260</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2563" w:type="dxa"/>
            <w:tcBorders/>
            <w:shd w:fill="FFFFFF" w:val="clear"/>
            <w:vAlign w:val="center"/>
          </w:tcPr>
          <w:p>
            <w:pPr>
              <w:pStyle w:val="TableContents"/>
              <w:bidi w:val="0"/>
              <w:spacing w:before="0" w:after="283"/>
              <w:jc w:val="left"/>
              <w:rPr/>
            </w:pPr>
            <w:r>
              <w:rPr/>
              <w:t>Net loss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(1,307,300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(249,981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(475,264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(2,032,545</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2563"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2563"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(1,307,300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(249,981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(475,264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(2,032,545</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2563" w:type="dxa"/>
            <w:tcBorders/>
            <w:shd w:fill="CCEEFF" w:val="clear"/>
            <w:vAlign w:val="center"/>
          </w:tcPr>
          <w:p>
            <w:pPr>
              <w:pStyle w:val="TableContents"/>
              <w:bidi w:val="0"/>
              <w:spacing w:before="0" w:after="283"/>
              <w:jc w:val="left"/>
              <w:rPr/>
            </w:pPr>
            <w:r>
              <w:rPr/>
              <w:t>Net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(18,704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(18,704</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2563" w:type="dxa"/>
            <w:tcBorders/>
            <w:shd w:fill="FFFFFF" w:val="clear"/>
            <w:vAlign w:val="center"/>
          </w:tcPr>
          <w:p>
            <w:pPr>
              <w:pStyle w:val="TableContents"/>
              <w:bidi w:val="0"/>
              <w:spacing w:before="0" w:after="283"/>
              <w:jc w:val="left"/>
              <w:rPr/>
            </w:pPr>
            <w:r>
              <w:rPr/>
              <w:t>Net loss attributable to Niki BioSolutions, Inc.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(1,326,004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(249,981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29"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2" w:type="dxa"/>
            <w:tcBorders>
              <w:bottom w:val="double" w:sz="10" w:space="0" w:color="000000"/>
            </w:tcBorders>
            <w:shd w:fill="FFFFFF" w:val="clear"/>
            <w:tcMar>
              <w:bottom w:w="28" w:type="dxa"/>
            </w:tcMar>
            <w:vAlign w:val="center"/>
          </w:tcPr>
          <w:p>
            <w:pPr>
              <w:pStyle w:val="TableContents"/>
              <w:bidi w:val="0"/>
              <w:spacing w:before="0" w:after="283"/>
              <w:jc w:val="right"/>
              <w:rPr/>
            </w:pPr>
            <w:r>
              <w:rPr/>
              <w:t>(475,264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(2,051,249</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25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2563" w:type="dxa"/>
            <w:tcBorders/>
            <w:shd w:fill="FFFFFF" w:val="clear"/>
            <w:vAlign w:val="center"/>
          </w:tcPr>
          <w:p>
            <w:pPr>
              <w:pStyle w:val="TableContents"/>
              <w:bidi w:val="0"/>
              <w:spacing w:before="0" w:after="283"/>
              <w:jc w:val="left"/>
              <w:rPr/>
            </w:pPr>
            <w:r>
              <w:rPr/>
              <w:t>Net loss per share attributable to Niki BioSolutions, Inc.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2563" w:type="dxa"/>
            <w:tcBorders/>
            <w:shd w:fill="CCEEFF" w:val="clear"/>
            <w:vAlign w:val="center"/>
          </w:tcPr>
          <w:p>
            <w:pPr>
              <w:pStyle w:val="TableContents"/>
              <w:bidi w:val="0"/>
              <w:spacing w:before="0" w:after="283"/>
              <w:jc w:val="left"/>
              <w:rPr/>
            </w:pPr>
            <w:r>
              <w:rPr/>
              <w:t>–</w:t>
            </w: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(0.68</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2563" w:type="dxa"/>
            <w:tcBorders/>
            <w:shd w:fill="FFFFFF" w:val="clear"/>
            <w:vAlign w:val="center"/>
          </w:tcPr>
          <w:p>
            <w:pPr>
              <w:pStyle w:val="TableContents"/>
              <w:bidi w:val="0"/>
              <w:spacing w:before="0" w:after="283"/>
              <w:jc w:val="left"/>
              <w:rPr/>
            </w:pPr>
            <w:r>
              <w:rPr/>
              <w:t>–</w:t>
            </w: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(0.06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(0.68</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2563" w:type="dxa"/>
            <w:tcBorders/>
            <w:shd w:fill="CCEEFF" w:val="clear"/>
            <w:vAlign w:val="center"/>
          </w:tcPr>
          <w:p>
            <w:pPr>
              <w:pStyle w:val="TableContents"/>
              <w:bidi w:val="0"/>
              <w:spacing w:before="0" w:after="283"/>
              <w:jc w:val="left"/>
              <w:rPr/>
            </w:pPr>
            <w:r>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2563" w:type="dxa"/>
            <w:tcBorders/>
            <w:shd w:fill="FFFFFF" w:val="clear"/>
            <w:vAlign w:val="center"/>
          </w:tcPr>
          <w:p>
            <w:pPr>
              <w:pStyle w:val="TableContents"/>
              <w:bidi w:val="0"/>
              <w:spacing w:before="0" w:after="283"/>
              <w:jc w:val="left"/>
              <w:rPr/>
            </w:pPr>
            <w:r>
              <w:rPr/>
              <w:t>–</w:t>
            </w: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814,375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4,440,891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2,995,250</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2563" w:type="dxa"/>
            <w:tcBorders/>
            <w:shd w:fill="CCEEFF" w:val="clear"/>
            <w:vAlign w:val="center"/>
          </w:tcPr>
          <w:p>
            <w:pPr>
              <w:pStyle w:val="TableContents"/>
              <w:bidi w:val="0"/>
              <w:spacing w:before="0" w:after="283"/>
              <w:jc w:val="left"/>
              <w:rPr/>
            </w:pPr>
            <w:r>
              <w:rPr/>
              <w:t>–</w:t>
            </w: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814,375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4,440,891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2,995,250</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25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2563"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(1,307,300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(249,981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2" w:type="dxa"/>
            <w:tcBorders/>
            <w:shd w:fill="CCEEFF" w:val="clear"/>
            <w:vAlign w:val="center"/>
          </w:tcPr>
          <w:p>
            <w:pPr>
              <w:pStyle w:val="TableContents"/>
              <w:bidi w:val="0"/>
              <w:spacing w:before="0" w:after="283"/>
              <w:jc w:val="right"/>
              <w:rPr/>
            </w:pPr>
            <w:r>
              <w:rPr/>
              <w:t>(475,264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(2,032,545</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25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2563" w:type="dxa"/>
            <w:tcBorders/>
            <w:shd w:fill="CCEEFF" w:val="clear"/>
            <w:vAlign w:val="center"/>
          </w:tcPr>
          <w:p>
            <w:pPr>
              <w:pStyle w:val="TableContents"/>
              <w:bidi w:val="0"/>
              <w:spacing w:before="0" w:after="283"/>
              <w:jc w:val="left"/>
              <w:rPr/>
            </w:pPr>
            <w:r>
              <w:rPr/>
              <w:t>Other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2563" w:type="dxa"/>
            <w:tcBorders/>
            <w:shd w:fill="FFFFFF" w:val="clear"/>
            <w:vAlign w:val="center"/>
          </w:tcPr>
          <w:p>
            <w:pPr>
              <w:pStyle w:val="TableContents"/>
              <w:bidi w:val="0"/>
              <w:spacing w:before="0" w:after="283"/>
              <w:jc w:val="left"/>
              <w:rPr/>
            </w:pPr>
            <w:r>
              <w:rPr/>
              <w:t>Exchange differences on translation of foreign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(2,819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(2,819</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25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2563" w:type="dxa"/>
            <w:tcBorders/>
            <w:shd w:fill="FFFFFF" w:val="clear"/>
            <w:vAlign w:val="center"/>
          </w:tcPr>
          <w:p>
            <w:pPr>
              <w:pStyle w:val="TableContents"/>
              <w:bidi w:val="0"/>
              <w:spacing w:before="0" w:after="283"/>
              <w:jc w:val="left"/>
              <w:rPr/>
            </w:pPr>
            <w:r>
              <w:rPr/>
              <w:t>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(1,310,119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(249,981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(475,264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(2,035,364</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2563" w:type="dxa"/>
            <w:tcBorders/>
            <w:shd w:fill="CCEEFF" w:val="clear"/>
            <w:vAlign w:val="center"/>
          </w:tcPr>
          <w:p>
            <w:pPr>
              <w:pStyle w:val="TableContents"/>
              <w:bidi w:val="0"/>
              <w:spacing w:before="0" w:after="283"/>
              <w:jc w:val="left"/>
              <w:rPr/>
            </w:pPr>
            <w:r>
              <w:rPr/>
              <w:t>Comprehensive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(18,704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(18,704</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2563" w:type="dxa"/>
            <w:tcBorders/>
            <w:shd w:fill="FFFFFF" w:val="clear"/>
            <w:vAlign w:val="center"/>
          </w:tcPr>
          <w:p>
            <w:pPr>
              <w:pStyle w:val="TableContents"/>
              <w:bidi w:val="0"/>
              <w:spacing w:before="0" w:after="283"/>
              <w:jc w:val="left"/>
              <w:rPr/>
            </w:pPr>
            <w:r>
              <w:rPr/>
              <w:t>Comprehensive loss attributable to the shareholders of Niki BioSolutions, Inc.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(1,328,823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(249,981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29"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2" w:type="dxa"/>
            <w:tcBorders>
              <w:bottom w:val="double" w:sz="10" w:space="0" w:color="000000"/>
            </w:tcBorders>
            <w:shd w:fill="FFFFFF" w:val="clear"/>
            <w:tcMar>
              <w:bottom w:w="28" w:type="dxa"/>
            </w:tcMar>
            <w:vAlign w:val="center"/>
          </w:tcPr>
          <w:p>
            <w:pPr>
              <w:pStyle w:val="TableContents"/>
              <w:bidi w:val="0"/>
              <w:spacing w:before="0" w:after="283"/>
              <w:jc w:val="right"/>
              <w:rPr/>
            </w:pPr>
            <w:r>
              <w:rPr/>
              <w:t>(475,264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(2,054,068</w:t>
            </w:r>
          </w:p>
        </w:tc>
        <w:tc>
          <w:tcPr>
            <w:tcW w:w="11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br/>
        <w:t>FOR THE YEAR ENDED DECEMBER 31, 2025</w:t>
        <w:br/>
        <w:t>(In U.S. dollars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3"/>
        <w:gridCol w:w="60"/>
        <w:gridCol w:w="140"/>
        <w:gridCol w:w="1055"/>
        <w:gridCol w:w="95"/>
        <w:gridCol w:w="60"/>
        <w:gridCol w:w="140"/>
        <w:gridCol w:w="1055"/>
        <w:gridCol w:w="95"/>
        <w:gridCol w:w="60"/>
        <w:gridCol w:w="258"/>
        <w:gridCol w:w="1062"/>
        <w:gridCol w:w="60"/>
        <w:gridCol w:w="60"/>
        <w:gridCol w:w="146"/>
        <w:gridCol w:w="1104"/>
        <w:gridCol w:w="95"/>
        <w:gridCol w:w="60"/>
        <w:gridCol w:w="590"/>
        <w:gridCol w:w="60"/>
        <w:gridCol w:w="140"/>
        <w:gridCol w:w="1055"/>
        <w:gridCol w:w="112"/>
      </w:tblGrid>
      <w:tr>
        <w:trPr/>
        <w:tc>
          <w:tcPr>
            <w:tcW w:w="2643"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Niki</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DiamiR</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0" w:type="dxa"/>
            <w:gridSpan w:val="2"/>
            <w:tcBorders/>
            <w:vAlign w:val="center"/>
          </w:tcPr>
          <w:p>
            <w:pPr>
              <w:pStyle w:val="TableContents"/>
              <w:bidi w:val="0"/>
              <w:spacing w:before="0" w:after="283"/>
              <w:jc w:val="center"/>
              <w:rPr>
                <w:b/>
              </w:rPr>
            </w:pPr>
            <w:r>
              <w:rPr>
                <w:b/>
              </w:rPr>
              <w:t>Conversion of notes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vAlign w:val="center"/>
          </w:tcPr>
          <w:p>
            <w:pPr>
              <w:pStyle w:val="TableContents"/>
              <w:bidi w:val="0"/>
              <w:spacing w:before="0" w:after="283"/>
              <w:jc w:val="center"/>
              <w:rPr>
                <w:b/>
              </w:rPr>
            </w:pPr>
            <w:r>
              <w:rPr>
                <w:b/>
                <w:u w:val="single"/>
              </w:rPr>
              <w:t>Acquisition</w:t>
              <w:br/>
            </w:r>
            <w:r>
              <w:rPr>
                <w:b/>
              </w:rPr>
              <w:t>Transaction</w:t>
              <w:br/>
              <w:t>accounting</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vAlign w:val="center"/>
          </w:tcPr>
          <w:p>
            <w:pPr>
              <w:pStyle w:val="TableContents"/>
              <w:bidi w:val="0"/>
              <w:spacing w:before="0" w:after="283"/>
              <w:jc w:val="center"/>
              <w:rPr>
                <w:b/>
              </w:rPr>
            </w:pPr>
            <w:r>
              <w:rPr>
                <w:b/>
              </w:rPr>
              <w:t>Pro Forma</w:t>
            </w:r>
          </w:p>
        </w:tc>
        <w:tc>
          <w:tcPr>
            <w:tcW w:w="112" w:type="dxa"/>
            <w:tcBorders/>
            <w:vAlign w:val="center"/>
          </w:tcPr>
          <w:p>
            <w:pPr>
              <w:pStyle w:val="TableContents"/>
              <w:bidi w:val="0"/>
              <w:spacing w:before="0" w:after="283"/>
              <w:ind w:left="0" w:right="0" w:hanging="180"/>
              <w:jc w:val="center"/>
              <w:rPr/>
            </w:pPr>
            <w:r>
              <w:rPr/>
              <w:t> </w:t>
            </w:r>
          </w:p>
        </w:tc>
      </w:tr>
      <w:tr>
        <w:trPr/>
        <w:tc>
          <w:tcPr>
            <w:tcW w:w="264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12/31/2025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11/30/2025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payable (a)</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adjustments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Combined</w:t>
            </w:r>
          </w:p>
        </w:tc>
        <w:tc>
          <w:tcPr>
            <w:tcW w:w="112" w:type="dxa"/>
            <w:tcBorders/>
            <w:vAlign w:val="center"/>
          </w:tcPr>
          <w:p>
            <w:pPr>
              <w:pStyle w:val="TableContents"/>
              <w:bidi w:val="0"/>
              <w:spacing w:before="0" w:after="283"/>
              <w:ind w:left="0" w:right="0" w:hanging="180"/>
              <w:jc w:val="center"/>
              <w:rPr/>
            </w:pPr>
            <w:r>
              <w:rPr/>
              <w:t> </w:t>
            </w:r>
          </w:p>
        </w:tc>
      </w:tr>
      <w:tr>
        <w:trPr/>
        <w:tc>
          <w:tcPr>
            <w:tcW w:w="26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ind w:left="0" w:right="0" w:hanging="180"/>
              <w:jc w:val="left"/>
              <w:rPr/>
            </w:pPr>
            <w:r>
              <w:rPr/>
              <w:t> </w:t>
            </w:r>
          </w:p>
        </w:tc>
      </w:tr>
      <w:tr>
        <w:trPr/>
        <w:tc>
          <w:tcPr>
            <w:tcW w:w="2643"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319,264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319,264</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26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2643" w:type="dxa"/>
            <w:tcBorders/>
            <w:shd w:fill="CCEEFF" w:val="clear"/>
            <w:vAlign w:val="center"/>
          </w:tcPr>
          <w:p>
            <w:pPr>
              <w:pStyle w:val="TableContents"/>
              <w:bidi w:val="0"/>
              <w:spacing w:before="0" w:after="283"/>
              <w:jc w:val="left"/>
              <w:rPr/>
            </w:pPr>
            <w:r>
              <w:rPr/>
              <w:t>Operating costs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2643" w:type="dxa"/>
            <w:tcBorders/>
            <w:shd w:fill="FFFFFF" w:val="clear"/>
            <w:vAlign w:val="center"/>
          </w:tcPr>
          <w:p>
            <w:pPr>
              <w:pStyle w:val="TableContents"/>
              <w:bidi w:val="0"/>
              <w:spacing w:before="0" w:after="283"/>
              <w:jc w:val="left"/>
              <w:rPr/>
            </w:pPr>
            <w:r>
              <w:rPr/>
              <w:t>Cost of service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(93,016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(93,016</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2643"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(352,879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(446,412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(799,291</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2643" w:type="dxa"/>
            <w:tcBorders/>
            <w:shd w:fill="FFFFFF" w:val="clear"/>
            <w:vAlign w:val="center"/>
          </w:tcPr>
          <w:p>
            <w:pPr>
              <w:pStyle w:val="TableContents"/>
              <w:bidi w:val="0"/>
              <w:spacing w:before="0" w:after="283"/>
              <w:jc w:val="left"/>
              <w:rPr/>
            </w:pPr>
            <w:r>
              <w:rPr/>
              <w:t>General and administrative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(1,464,649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(1,126,276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(500,000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(3,831,087</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26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514,838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26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FFFFFF" w:val="clear"/>
            <w:tcMar>
              <w:bottom w:w="28" w:type="dxa"/>
            </w:tcMar>
            <w:vAlign w:val="center"/>
          </w:tcPr>
          <w:p>
            <w:pPr>
              <w:pStyle w:val="TableContents"/>
              <w:bidi w:val="0"/>
              <w:spacing w:before="0" w:after="283"/>
              <w:jc w:val="right"/>
              <w:rPr/>
            </w:pPr>
            <w:r>
              <w:rPr/>
              <w:t>(1,255,000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(i)</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2643"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(1,817,528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(1,665,704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(1,240,162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(4,723,394</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26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2643"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408,638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(408,638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2643" w:type="dxa"/>
            <w:tcBorders/>
            <w:shd w:fill="FFFFFF" w:val="clear"/>
            <w:vAlign w:val="center"/>
          </w:tcPr>
          <w:p>
            <w:pPr>
              <w:pStyle w:val="TableContents"/>
              <w:bidi w:val="0"/>
              <w:spacing w:before="0" w:after="283"/>
              <w:jc w:val="left"/>
              <w:rPr/>
            </w:pPr>
            <w:r>
              <w:rPr/>
              <w:t>Interest (expense) income,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(95,713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(100,364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280,364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84,287</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2643" w:type="dxa"/>
            <w:tcBorders/>
            <w:shd w:fill="CCEEFF" w:val="clear"/>
            <w:vAlign w:val="center"/>
          </w:tcPr>
          <w:p>
            <w:pPr>
              <w:pStyle w:val="TableContents"/>
              <w:bidi w:val="0"/>
              <w:spacing w:before="0" w:after="283"/>
              <w:jc w:val="left"/>
              <w:rPr/>
            </w:pPr>
            <w:r>
              <w:rPr/>
              <w:t>Issuance cost allocated to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(153,189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(153,189</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2643"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690,000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690,000</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2643" w:type="dxa"/>
            <w:tcBorders/>
            <w:shd w:fill="CCEEFF" w:val="clear"/>
            <w:vAlign w:val="center"/>
          </w:tcPr>
          <w:p>
            <w:pPr>
              <w:pStyle w:val="TableContents"/>
              <w:bidi w:val="0"/>
              <w:spacing w:before="0" w:after="283"/>
              <w:jc w:val="left"/>
              <w:rPr/>
            </w:pPr>
            <w:r>
              <w:rPr/>
              <w:t>Total other (expense)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441,098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308,274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pPr>
            <w:r>
              <w:rPr/>
              <w:t>(128,274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621,098</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2643" w:type="dxa"/>
            <w:tcBorders/>
            <w:shd w:fill="FFFFFF" w:val="clear"/>
            <w:vAlign w:val="center"/>
          </w:tcPr>
          <w:p>
            <w:pPr>
              <w:pStyle w:val="TableContents"/>
              <w:bidi w:val="0"/>
              <w:spacing w:before="0" w:after="283"/>
              <w:jc w:val="left"/>
              <w:rPr/>
            </w:pPr>
            <w:r>
              <w:rPr/>
              <w:t>Net loss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(1,376,430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(1,038,166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(1,368,436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(3,783,032</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2643" w:type="dxa"/>
            <w:tcBorders/>
            <w:shd w:fill="CCEEFF" w:val="clear"/>
            <w:vAlign w:val="center"/>
          </w:tcPr>
          <w:p>
            <w:pPr>
              <w:pStyle w:val="TableContents"/>
              <w:bidi w:val="0"/>
              <w:spacing w:before="0" w:after="283"/>
              <w:jc w:val="left"/>
              <w:rPr/>
            </w:pPr>
            <w:r>
              <w:rPr/>
              <w:t>Income tax benefit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167,508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167,508</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2643"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(1,376,430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(870,658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(1,368,436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(3,615,524</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2643" w:type="dxa"/>
            <w:tcBorders/>
            <w:shd w:fill="CCEEFF" w:val="clear"/>
            <w:vAlign w:val="center"/>
          </w:tcPr>
          <w:p>
            <w:pPr>
              <w:pStyle w:val="TableContents"/>
              <w:bidi w:val="0"/>
              <w:spacing w:before="0" w:after="283"/>
              <w:jc w:val="left"/>
              <w:rPr/>
            </w:pPr>
            <w:r>
              <w:rPr/>
              <w:t>Net 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13,160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13,160</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2643" w:type="dxa"/>
            <w:tcBorders/>
            <w:shd w:fill="FFFFFF" w:val="clear"/>
            <w:vAlign w:val="center"/>
          </w:tcPr>
          <w:p>
            <w:pPr>
              <w:pStyle w:val="TableContents"/>
              <w:bidi w:val="0"/>
              <w:spacing w:before="0" w:after="283"/>
              <w:jc w:val="left"/>
              <w:rPr/>
            </w:pPr>
            <w:r>
              <w:rPr/>
              <w:t>Net loss attributable to Niki BioSolutions, Inc.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(1,363,270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(870,658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62"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4" w:type="dxa"/>
            <w:tcBorders>
              <w:bottom w:val="double" w:sz="10" w:space="0" w:color="000000"/>
            </w:tcBorders>
            <w:shd w:fill="FFFFFF" w:val="clear"/>
            <w:tcMar>
              <w:bottom w:w="28" w:type="dxa"/>
            </w:tcMar>
            <w:vAlign w:val="center"/>
          </w:tcPr>
          <w:p>
            <w:pPr>
              <w:pStyle w:val="TableContents"/>
              <w:bidi w:val="0"/>
              <w:spacing w:before="0" w:after="283"/>
              <w:jc w:val="right"/>
              <w:rPr/>
            </w:pPr>
            <w:r>
              <w:rPr/>
              <w:t>(1,368,436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(3,602,364</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26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2643" w:type="dxa"/>
            <w:tcBorders/>
            <w:shd w:fill="FFFFFF" w:val="clear"/>
            <w:vAlign w:val="center"/>
          </w:tcPr>
          <w:p>
            <w:pPr>
              <w:pStyle w:val="TableContents"/>
              <w:bidi w:val="0"/>
              <w:spacing w:before="0" w:after="283"/>
              <w:jc w:val="left"/>
              <w:rPr/>
            </w:pPr>
            <w:r>
              <w:rPr/>
              <w:t>Net loss per share attributable to Niki BioSolutions, Inc.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2643" w:type="dxa"/>
            <w:tcBorders/>
            <w:shd w:fill="CCEEFF" w:val="clear"/>
            <w:vAlign w:val="center"/>
          </w:tcPr>
          <w:p>
            <w:pPr>
              <w:pStyle w:val="TableContents"/>
              <w:bidi w:val="0"/>
              <w:spacing w:before="0" w:after="283"/>
              <w:jc w:val="left"/>
              <w:rPr/>
            </w:pPr>
            <w:r>
              <w:rPr/>
              <w:t>–</w:t>
            </w: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(0.20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(1.20</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2643" w:type="dxa"/>
            <w:tcBorders/>
            <w:shd w:fill="FFFFFF" w:val="clear"/>
            <w:vAlign w:val="center"/>
          </w:tcPr>
          <w:p>
            <w:pPr>
              <w:pStyle w:val="TableContents"/>
              <w:bidi w:val="0"/>
              <w:spacing w:before="0" w:after="283"/>
              <w:jc w:val="left"/>
              <w:rPr/>
            </w:pPr>
            <w:r>
              <w:rPr/>
              <w:t>–</w:t>
            </w: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(0.20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(1.20</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2643" w:type="dxa"/>
            <w:tcBorders/>
            <w:shd w:fill="CCEEFF" w:val="clear"/>
            <w:vAlign w:val="center"/>
          </w:tcPr>
          <w:p>
            <w:pPr>
              <w:pStyle w:val="TableContents"/>
              <w:bidi w:val="0"/>
              <w:spacing w:before="0" w:after="283"/>
              <w:jc w:val="left"/>
              <w:rPr/>
            </w:pPr>
            <w:r>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2643" w:type="dxa"/>
            <w:tcBorders/>
            <w:shd w:fill="FFFFFF" w:val="clear"/>
            <w:vAlign w:val="center"/>
          </w:tcPr>
          <w:p>
            <w:pPr>
              <w:pStyle w:val="TableContents"/>
              <w:bidi w:val="0"/>
              <w:spacing w:before="0" w:after="283"/>
              <w:jc w:val="left"/>
              <w:rPr/>
            </w:pPr>
            <w:r>
              <w:rPr/>
              <w:t>–</w:t>
            </w: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735,178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4,440,891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2,995,250</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2643" w:type="dxa"/>
            <w:tcBorders/>
            <w:shd w:fill="CCEEFF" w:val="clear"/>
            <w:vAlign w:val="center"/>
          </w:tcPr>
          <w:p>
            <w:pPr>
              <w:pStyle w:val="TableContents"/>
              <w:bidi w:val="0"/>
              <w:spacing w:before="0" w:after="283"/>
              <w:jc w:val="left"/>
              <w:rPr/>
            </w:pPr>
            <w:r>
              <w:rPr/>
              <w:t>–</w:t>
            </w: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735,178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4,440,891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2,995,250</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26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2643"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(1,376,430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(870,658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4" w:type="dxa"/>
            <w:tcBorders/>
            <w:shd w:fill="CCEEFF" w:val="clear"/>
            <w:vAlign w:val="center"/>
          </w:tcPr>
          <w:p>
            <w:pPr>
              <w:pStyle w:val="TableContents"/>
              <w:bidi w:val="0"/>
              <w:spacing w:before="0" w:after="283"/>
              <w:jc w:val="right"/>
              <w:rPr/>
            </w:pPr>
            <w:r>
              <w:rPr/>
              <w:t>(1,368,436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(3,615,524</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26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2643" w:type="dxa"/>
            <w:tcBorders/>
            <w:shd w:fill="CCEEFF" w:val="clear"/>
            <w:vAlign w:val="center"/>
          </w:tcPr>
          <w:p>
            <w:pPr>
              <w:pStyle w:val="TableContents"/>
              <w:bidi w:val="0"/>
              <w:spacing w:before="0" w:after="283"/>
              <w:jc w:val="left"/>
              <w:rPr/>
            </w:pPr>
            <w:r>
              <w:rPr/>
              <w:t>Other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2643" w:type="dxa"/>
            <w:tcBorders/>
            <w:shd w:fill="FFFFFF" w:val="clear"/>
            <w:vAlign w:val="center"/>
          </w:tcPr>
          <w:p>
            <w:pPr>
              <w:pStyle w:val="TableContents"/>
              <w:bidi w:val="0"/>
              <w:spacing w:before="0" w:after="283"/>
              <w:jc w:val="left"/>
              <w:rPr/>
            </w:pPr>
            <w:r>
              <w:rPr/>
              <w:t>Exchange differences on translation of foreign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(181,472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(181,472</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26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2643" w:type="dxa"/>
            <w:tcBorders/>
            <w:shd w:fill="FFFFFF" w:val="clear"/>
            <w:vAlign w:val="center"/>
          </w:tcPr>
          <w:p>
            <w:pPr>
              <w:pStyle w:val="TableContents"/>
              <w:bidi w:val="0"/>
              <w:spacing w:before="0" w:after="283"/>
              <w:jc w:val="left"/>
              <w:rPr/>
            </w:pPr>
            <w:r>
              <w:rPr/>
              <w:t>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(1,557,902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(870,658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(1,368,436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(3,796,996</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2643" w:type="dxa"/>
            <w:tcBorders/>
            <w:shd w:fill="CCEEFF" w:val="clear"/>
            <w:vAlign w:val="center"/>
          </w:tcPr>
          <w:p>
            <w:pPr>
              <w:pStyle w:val="TableContents"/>
              <w:bidi w:val="0"/>
              <w:spacing w:before="0" w:after="283"/>
              <w:jc w:val="left"/>
              <w:rPr/>
            </w:pPr>
            <w:r>
              <w:rPr/>
              <w:t>Comprehensive 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13,160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13,160</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2643" w:type="dxa"/>
            <w:tcBorders/>
            <w:shd w:fill="FFFFFF" w:val="clear"/>
            <w:vAlign w:val="center"/>
          </w:tcPr>
          <w:p>
            <w:pPr>
              <w:pStyle w:val="TableContents"/>
              <w:bidi w:val="0"/>
              <w:spacing w:before="0" w:after="283"/>
              <w:jc w:val="left"/>
              <w:rPr/>
            </w:pPr>
            <w:r>
              <w:rPr/>
              <w:t>Comprehensive loss attributable to the shareholders of Niki BioSolutions, Inc.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(1,544,742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(870,658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62"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4" w:type="dxa"/>
            <w:tcBorders>
              <w:bottom w:val="double" w:sz="10" w:space="0" w:color="000000"/>
            </w:tcBorders>
            <w:shd w:fill="FFFFFF" w:val="clear"/>
            <w:tcMar>
              <w:bottom w:w="28" w:type="dxa"/>
            </w:tcMar>
            <w:vAlign w:val="center"/>
          </w:tcPr>
          <w:p>
            <w:pPr>
              <w:pStyle w:val="TableContents"/>
              <w:bidi w:val="0"/>
              <w:spacing w:before="0" w:after="283"/>
              <w:jc w:val="right"/>
              <w:rPr/>
            </w:pPr>
            <w:r>
              <w:rPr/>
              <w:t>(1,368,436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(3,783,836</w:t>
            </w:r>
          </w:p>
        </w:tc>
        <w:tc>
          <w:tcPr>
            <w:tcW w:w="11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NIKI BIOSOLUTIONS, INC.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CONDENSED COMBINED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Description of Transaction and Basis of Presentation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should be read in conjunction with the historical financial statements of DiamiR and the Company, which are referenced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reflects the Merger as if the Merger had been consummated on June 30, 2026; and the unaudited pro forma condensed combined statements of operations reflect the Merger as if it had been consummated on January 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20, 2026, Aptorum effectuated a 10 for 1 share consolidation of its authorized share capital, such that every 10 Class A Ordinary Shares, par value of US$0.00001 per share, in the authorized share capital of Aptorum (including issued and unissued share capital) be consolidated into 1 Class A Ordinary Share, par value of US$0.0001 per share, and that every 10 Class B Ordinary Shares, par value of US$0.00001 per share in the authorized share capital of Aptorum (including issued and unissued share capital) be consolidated into 1 Class B Ordinary Share, par value of US$0.0001 per share (the “Share Consolidation” or “Reverse Split”). The Reverse Split was approved by the Company’s shareholders on June 9, 2026 and Aptorum’s board of directors approved implementing the Reverse Split effective as of July 20, 2026. All share and per share amounts presented in these unaudited pro forma condensed combined financial statements have been retroactively adjusted to give effect to the Reverse Split for all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Transaction Accounting Adjustments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transaction accounting adjustments are included in the unaudited pro forma condensed combined financial statements: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(a)</w:t>
            </w:r>
          </w:p>
        </w:tc>
        <w:tc>
          <w:tcPr>
            <w:tcW w:w="9957" w:type="dxa"/>
            <w:tcBorders/>
            <w:vAlign w:val="center"/>
          </w:tcPr>
          <w:p>
            <w:pPr>
              <w:pStyle w:val="TableContents"/>
              <w:bidi w:val="0"/>
              <w:spacing w:before="0" w:after="283"/>
              <w:jc w:val="both"/>
              <w:rPr/>
            </w:pPr>
            <w:r>
              <w:rPr/>
              <w:t>Represents the conversion of related party convertible notes in connection with the consummation of the Merger. The Company’s convertible note, in the amount of $3,508,500 including accrued interest, converted at $24.20 per share into 144,979 shares of Niki Common Stock. DiamiR’s convertible notes, in the amount of $1,314,150 including accrued interest, converted into 409,925 shares of DiamiR common stock in connection with the Closing. Those shares are included in the 1,979,216 shares of Niki Common Stock issued to DiamiR stockholders in the Merger and did not result in the issuance of additional shares of Niki Common Stock.</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The Merger is considered a business combination and is accounted for using the acquisition method in accordance with ASC 805, “Business Combinations” as the Company determined that DiamiR constitutes a business in accordance with ASC 805. The Merger enables the Company to further its business strategies.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Merger, the Company holds 100% of DiamiR’s equity interest and obtained control over DiamiR. Accordingly, DiamiR became a wholly owned subsidiary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preparing the unaudited pro forma condensed combined financial information, the Company assumed that, with the exception of intangible assets (details set out below), the fair value of the identifiable assets and liabilities of DiamiR are substantially the same as their respective carrying amounts at May 31,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9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purchase price allocation for pro forma purposes is as follows:</w:t>
      </w:r>
    </w:p>
    <w:p>
      <w:pPr>
        <w:pStyle w:val="TextBody"/>
        <w:bidi w:val="0"/>
        <w:spacing w:before="0" w:after="0"/>
        <w:ind w:left="960" w:right="0" w:hanging="0"/>
        <w:jc w:val="both"/>
        <w:rPr>
          <w:caps w:val="false"/>
          <w:smallCaps w:val="false"/>
        </w:rPr>
      </w:pPr>
      <w:r>
        <w:rPr>
          <w:caps w:val="false"/>
          <w:smallCaps w:val="false"/>
        </w:rPr>
        <w:t> </w:t>
      </w:r>
    </w:p>
    <w:tbl>
      <w:tblPr>
        <w:tblW w:w="5315" w:type="dxa"/>
        <w:jc w:val="left"/>
        <w:tblInd w:w="0" w:type="dxa"/>
        <w:tblLayout w:type="fixed"/>
        <w:tblCellMar>
          <w:top w:w="0" w:type="dxa"/>
          <w:left w:w="0" w:type="dxa"/>
          <w:bottom w:w="0" w:type="dxa"/>
          <w:right w:w="0" w:type="dxa"/>
        </w:tblCellMar>
      </w:tblPr>
      <w:tblGrid>
        <w:gridCol w:w="3905"/>
        <w:gridCol w:w="60"/>
        <w:gridCol w:w="140"/>
        <w:gridCol w:w="1100"/>
        <w:gridCol w:w="110"/>
      </w:tblGrid>
      <w:tr>
        <w:trPr/>
        <w:tc>
          <w:tcPr>
            <w:tcW w:w="3905" w:type="dxa"/>
            <w:tcBorders/>
            <w:shd w:fill="CCEEFF" w:val="clear"/>
            <w:vAlign w:val="center"/>
          </w:tcPr>
          <w:p>
            <w:pPr>
              <w:pStyle w:val="TableContents"/>
              <w:bidi w:val="0"/>
              <w:spacing w:before="0" w:after="283"/>
              <w:ind w:left="0" w:right="0" w:hanging="200"/>
              <w:jc w:val="left"/>
              <w:rPr/>
            </w:pPr>
            <w:r>
              <w:rPr/>
              <w:t>Niki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17,476,477</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905" w:type="dxa"/>
            <w:tcBorders/>
            <w:shd w:fill="FFFFFF" w:val="clear"/>
            <w:vAlign w:val="center"/>
          </w:tcPr>
          <w:p>
            <w:pPr>
              <w:pStyle w:val="TableContents"/>
              <w:bidi w:val="0"/>
              <w:spacing w:before="0" w:after="283"/>
              <w:jc w:val="left"/>
              <w:rPr/>
            </w:pPr>
            <w:r>
              <w:rPr/>
              <w:t>Total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17,476,477</w:t>
            </w:r>
          </w:p>
        </w:tc>
        <w:tc>
          <w:tcPr>
            <w:tcW w:w="11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905"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905"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8,244,000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905" w:type="dxa"/>
            <w:tcBorders/>
            <w:shd w:fill="FFFFFF" w:val="clear"/>
            <w:vAlign w:val="center"/>
          </w:tcPr>
          <w:p>
            <w:pPr>
              <w:pStyle w:val="TableContents"/>
              <w:bidi w:val="0"/>
              <w:spacing w:before="0" w:after="283"/>
              <w:jc w:val="left"/>
              <w:rPr/>
            </w:pPr>
            <w:r>
              <w:rPr/>
              <w:t>In-process 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6,780,200</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905" w:type="dxa"/>
            <w:tcBorders/>
            <w:shd w:fill="CCEEFF" w:val="clear"/>
            <w:vAlign w:val="center"/>
          </w:tcPr>
          <w:p>
            <w:pPr>
              <w:pStyle w:val="TableContents"/>
              <w:bidi w:val="0"/>
              <w:spacing w:before="0" w:after="283"/>
              <w:jc w:val="left"/>
              <w:rPr/>
            </w:pPr>
            <w:r>
              <w:rPr/>
              <w:t>Tradename-trademark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1,584,800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905" w:type="dxa"/>
            <w:tcBorders/>
            <w:shd w:fill="FFFFFF" w:val="clear"/>
            <w:vAlign w:val="center"/>
          </w:tcPr>
          <w:p>
            <w:pPr>
              <w:pStyle w:val="TableContents"/>
              <w:bidi w:val="0"/>
              <w:spacing w:before="0" w:after="283"/>
              <w:jc w:val="left"/>
              <w:rPr/>
            </w:pPr>
            <w:r>
              <w:rPr/>
              <w:t>Other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197,761</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905"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75,067</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905" w:type="dxa"/>
            <w:tcBorders/>
            <w:shd w:fill="FFFFFF" w:val="clear"/>
            <w:vAlign w:val="center"/>
          </w:tcPr>
          <w:p>
            <w:pPr>
              <w:pStyle w:val="TableContents"/>
              <w:bidi w:val="0"/>
              <w:spacing w:before="0" w:after="283"/>
              <w:jc w:val="left"/>
              <w:rPr/>
            </w:pPr>
            <w:r>
              <w:rPr/>
              <w:t>Other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(20,178</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3905" w:type="dxa"/>
            <w:tcBorders/>
            <w:shd w:fill="CCEEFF" w:val="clear"/>
            <w:vAlign w:val="center"/>
          </w:tcPr>
          <w:p>
            <w:pPr>
              <w:pStyle w:val="TableContents"/>
              <w:bidi w:val="0"/>
              <w:spacing w:before="0" w:after="283"/>
              <w:jc w:val="left"/>
              <w:rPr/>
            </w:pPr>
            <w:r>
              <w:rPr/>
              <w:t>Debt-free net working capital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(467,403</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3905" w:type="dxa"/>
            <w:tcBorders/>
            <w:shd w:fill="FFFFFF" w:val="clear"/>
            <w:vAlign w:val="center"/>
          </w:tcPr>
          <w:p>
            <w:pPr>
              <w:pStyle w:val="TableContents"/>
              <w:bidi w:val="0"/>
              <w:spacing w:before="0" w:after="283"/>
              <w:jc w:val="left"/>
              <w:rPr/>
            </w:pPr>
            <w:r>
              <w:rPr/>
              <w:t>Fair Value of Identified Net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16,394,247</w:t>
            </w:r>
          </w:p>
        </w:tc>
        <w:tc>
          <w:tcPr>
            <w:tcW w:w="11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905" w:type="dxa"/>
            <w:tcBorders/>
            <w:shd w:fill="FFFFFF" w:val="clear"/>
            <w:vAlign w:val="center"/>
          </w:tcPr>
          <w:p>
            <w:pPr>
              <w:pStyle w:val="TableContents"/>
              <w:bidi w:val="0"/>
              <w:spacing w:before="0" w:after="283"/>
              <w:jc w:val="left"/>
              <w:rPr/>
            </w:pPr>
            <w:r>
              <w:rPr/>
              <w:t>Remaining Unidentified Goodwill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1,082,230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480" w:right="0" w:firstLine="600"/>
        <w:jc w:val="both"/>
        <w:rPr>
          <w:caps w:val="false"/>
          <w:smallCaps w:val="false"/>
        </w:rPr>
      </w:pPr>
      <w:r>
        <w:rPr>
          <w:caps w:val="false"/>
          <w:smallCaps w:val="false"/>
        </w:rPr>
        <w:t> </w:t>
      </w:r>
    </w:p>
    <w:p>
      <w:pPr>
        <w:pStyle w:val="TextBody"/>
        <w:bidi w:val="0"/>
        <w:ind w:left="480" w:right="0" w:firstLine="60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573"/>
        <w:gridCol w:w="9632"/>
      </w:tblGrid>
      <w:tr>
        <w:trPr/>
        <w:tc>
          <w:tcPr>
            <w:tcW w:w="573" w:type="dxa"/>
            <w:tcBorders/>
            <w:vAlign w:val="center"/>
          </w:tcPr>
          <w:p>
            <w:pPr>
              <w:pStyle w:val="TableContents"/>
              <w:bidi w:val="0"/>
              <w:spacing w:before="0" w:after="283"/>
              <w:jc w:val="left"/>
              <w:rPr/>
            </w:pPr>
            <w:r>
              <w:rPr/>
              <w:t>Note i:</w:t>
            </w:r>
          </w:p>
        </w:tc>
        <w:tc>
          <w:tcPr>
            <w:tcW w:w="9632" w:type="dxa"/>
            <w:tcBorders/>
            <w:vAlign w:val="center"/>
          </w:tcPr>
          <w:p>
            <w:pPr>
              <w:pStyle w:val="TableContents"/>
              <w:bidi w:val="0"/>
              <w:spacing w:before="0" w:after="283"/>
              <w:jc w:val="both"/>
              <w:rPr/>
            </w:pPr>
            <w:r>
              <w:rPr/>
              <w:t>The fair value of total consideration represents the 1,979,216 shares of Niki Common Stock issued to DiamiR stockholders in the Merger, measured at the closing price of Niki Common Stock of $8.83 per share on July 20, 2026.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35"/>
        <w:gridCol w:w="9670"/>
      </w:tblGrid>
      <w:tr>
        <w:trPr/>
        <w:tc>
          <w:tcPr>
            <w:tcW w:w="535" w:type="dxa"/>
            <w:tcBorders/>
            <w:vAlign w:val="center"/>
          </w:tcPr>
          <w:p>
            <w:pPr>
              <w:pStyle w:val="TableContents"/>
              <w:bidi w:val="0"/>
              <w:spacing w:before="0" w:after="283"/>
              <w:jc w:val="left"/>
              <w:rPr/>
            </w:pPr>
            <w:r>
              <w:rPr/>
              <w:t>Note ii:</w:t>
            </w:r>
          </w:p>
        </w:tc>
        <w:tc>
          <w:tcPr>
            <w:tcW w:w="9670" w:type="dxa"/>
            <w:tcBorders/>
            <w:vAlign w:val="center"/>
          </w:tcPr>
          <w:p>
            <w:pPr>
              <w:pStyle w:val="TableContents"/>
              <w:bidi w:val="0"/>
              <w:spacing w:before="0" w:after="283"/>
              <w:jc w:val="both"/>
              <w:rPr/>
            </w:pPr>
            <w:r>
              <w:rPr/>
              <w:t>The Company has not yet completed its fair value assessment of the assets acquired and liabilities assumed in the Merger. Accordingly, the pro forma adjustments to intangible assets reflect preliminary estimates prepared solely for purposes of the unaudited pro forma financial information, with the assistance of an independent qualified professional valuation advisor using primarily a cost approach. The pro forma fair value adjustments to intangible assets mainly relate to the preliminary recognition, on a pro forma basis, of patents, in-process research and development (“IPR&amp;D”), and trademark acquired in the Merger.</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paid for the Merger effectively included amounts in relation to the benefit of expected revenue growth, future market development and the assembled workforce of DiamiR. These benefits are not recognized separately from goodwill because they do not meet the recognition criteria for identifiable intangible assets.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there be any adverse changes to the business of DiamiR, including but not limited to, any subsequent adverse changes in the operation, or decline in share price, impairment may be required to be recognized against provisional goodwill in accordance with ASC 350-20-35 and the Company’s accounting policies. The Company will adopt a consistent approach to assess impairment of goodwill in subsequent reporting periods in accordance with the requirements of ASC 350-20-35 and will disclose in the Company’s Annual Report on Form 10-K the basis and assumptions adopted in the impairment assessment in accordance with the disclosure requirements in ASC 350-20-35.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fair values of the identifiable assets and liabilities and goodwill, if any, in relation to the Merger are preliminary and are subject to adjustment during the measurement period, which will not exceed one year from the acquisition date, as the Company completes its valuation of the assets acquired and liabilities assumed in accordance with ASC 805-10-25-14 and ASC 805-10-25-15. The final amounts may differ materially from the estimated amounts used in the preparation of this unaudited pro forma financial information. The initial estimates presented above are particularly subject to the further development of market estimates for the Company’s product candidates and the analysis of research costs of its pipeline products.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allocated to patents are generally subject to amortization over the lives of the patents, as definite-lived intangible assets. The pro forma condensed combined statement of operations for the six months ended June 30, 2026 includes amortization expense of $627,500. The pro forma condensed combined statement of operations for the year ended December 31, 2025 includes amortization expense of $1,255,000.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9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allocated to in-process research and development are subject to periodic impairment testing, including upon the abandonment of programs. Amounts allocated to goodwill are subject to periodic impairment, including upon Company market price declines.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Aptorum Class A Ordinary Share was exchanged for one share of Niki Common Stock. Each Aptorum Class B Ordinary Share was exchanged for one share of Niki Common Stock and one share of Series A Preferred Stock.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historical stockholders’ equity balances are eliminated in consolidation.</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(c)</w:t>
            </w:r>
          </w:p>
        </w:tc>
        <w:tc>
          <w:tcPr>
            <w:tcW w:w="9947" w:type="dxa"/>
            <w:tcBorders/>
            <w:vAlign w:val="center"/>
          </w:tcPr>
          <w:p>
            <w:pPr>
              <w:pStyle w:val="TableContents"/>
              <w:bidi w:val="0"/>
              <w:spacing w:before="0" w:after="283"/>
              <w:jc w:val="both"/>
              <w:rPr/>
            </w:pPr>
            <w:r>
              <w:rPr/>
              <w:t>The adjustment represents the estimated transaction costs of the Merger not already recognized in the historical financial statements, which are comprised of 56,625 warrants issuable to Wainwright upon consummation of the Merger that have a fair value of approximately $500,000 and are currently presumed to be classified within stockholders’ equity.</w:t>
            </w:r>
          </w:p>
        </w:tc>
      </w:tr>
    </w:tbl>
    <w:p>
      <w:pPr>
        <w:pStyle w:val="TextBody"/>
        <w:bidi w:val="0"/>
        <w:spacing w:before="0" w:after="0"/>
        <w:ind w:left="99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(d)</w:t>
            </w:r>
          </w:p>
        </w:tc>
        <w:tc>
          <w:tcPr>
            <w:tcW w:w="9925" w:type="dxa"/>
            <w:tcBorders/>
            <w:vAlign w:val="center"/>
          </w:tcPr>
          <w:p>
            <w:pPr>
              <w:pStyle w:val="TableContents"/>
              <w:bidi w:val="0"/>
              <w:spacing w:before="0" w:after="283"/>
              <w:jc w:val="both"/>
              <w:rPr/>
            </w:pPr>
            <w:r>
              <w:rPr/>
              <w:t>Reflects the automatic conversion, in connection with the Domestication, of 179,693 Aptorum Class B Ordinary Shares into 179,693 shares of Niki Common Stock and 179,693 shares of Series A Preferred Stock, each with a par value of $0.0001 per share.</w:t>
            </w:r>
          </w:p>
        </w:tc>
      </w:tr>
    </w:tbl>
    <w:p>
      <w:pPr>
        <w:pStyle w:val="TextBody"/>
        <w:bidi w:val="0"/>
        <w:spacing w:before="0" w:after="0"/>
        <w:ind w:left="990" w:right="0" w:hanging="480"/>
        <w:jc w:val="both"/>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38"/>
        <w:gridCol w:w="275"/>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5870" w:type="dxa"/>
            <w:tcBorders/>
            <w:vAlign w:val="center"/>
          </w:tcPr>
          <w:p>
            <w:pPr>
              <w:pStyle w:val="TableContents"/>
              <w:bidi w:val="0"/>
              <w:spacing w:before="0" w:after="283"/>
              <w:jc w:val="both"/>
              <w:rPr/>
            </w:pPr>
            <w:r>
              <w:rPr/>
              <w:t>Pro forma shares of Niki Common Stock outstanding include:</w:t>
            </w:r>
          </w:p>
        </w:tc>
      </w:tr>
    </w:tbl>
    <w:p>
      <w:pPr>
        <w:pStyle w:val="TextBody"/>
        <w:bidi w:val="0"/>
        <w:spacing w:before="0" w:after="0"/>
        <w:ind w:left="960" w:right="0" w:hanging="480"/>
        <w:jc w:val="both"/>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7160"/>
        <w:gridCol w:w="60"/>
        <w:gridCol w:w="60"/>
        <w:gridCol w:w="980"/>
        <w:gridCol w:w="75"/>
      </w:tblGrid>
      <w:tr>
        <w:trPr/>
        <w:tc>
          <w:tcPr>
            <w:tcW w:w="7160" w:type="dxa"/>
            <w:tcBorders/>
            <w:shd w:fill="CCEEFF" w:val="clear"/>
            <w:vAlign w:val="center"/>
          </w:tcPr>
          <w:p>
            <w:pPr>
              <w:pStyle w:val="TableContents"/>
              <w:bidi w:val="0"/>
              <w:spacing w:before="0" w:after="283"/>
              <w:ind w:left="0" w:right="0" w:hanging="200"/>
              <w:jc w:val="left"/>
              <w:rPr/>
            </w:pPr>
            <w:r>
              <w:rPr/>
              <w:t>Conversion of Aptorum Class A Ordinary Shares into Niki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634,737</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7160" w:type="dxa"/>
            <w:tcBorders/>
            <w:shd w:fill="FFFFFF" w:val="clear"/>
            <w:vAlign w:val="center"/>
          </w:tcPr>
          <w:p>
            <w:pPr>
              <w:pStyle w:val="TableContents"/>
              <w:bidi w:val="0"/>
              <w:spacing w:before="0" w:after="283"/>
              <w:jc w:val="left"/>
              <w:rPr/>
            </w:pPr>
            <w:r>
              <w:rPr/>
              <w:t>Conversion of Aptorum Class B Ordinary Shares into Niki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179,693</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7160" w:type="dxa"/>
            <w:tcBorders/>
            <w:shd w:fill="CCEEFF" w:val="clear"/>
            <w:vAlign w:val="center"/>
          </w:tcPr>
          <w:p>
            <w:pPr>
              <w:pStyle w:val="TableContents"/>
              <w:bidi w:val="0"/>
              <w:spacing w:before="0" w:after="283"/>
              <w:jc w:val="left"/>
              <w:rPr/>
            </w:pPr>
            <w:r>
              <w:rPr/>
              <w:t>Conversion of note payable into Niki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144,979</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7160" w:type="dxa"/>
            <w:tcBorders/>
            <w:shd w:fill="FFFFFF" w:val="clear"/>
            <w:vAlign w:val="center"/>
          </w:tcPr>
          <w:p>
            <w:pPr>
              <w:pStyle w:val="TableContents"/>
              <w:bidi w:val="0"/>
              <w:spacing w:before="0" w:after="283"/>
              <w:jc w:val="left"/>
              <w:rPr/>
            </w:pPr>
            <w:r>
              <w:rPr/>
              <w:t>Issuance of Niki Common Stock to DiamiR stockholders in the Merger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1,979,216</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7160" w:type="dxa"/>
            <w:tcBorders/>
            <w:shd w:fill="CCEEFF" w:val="clear"/>
            <w:vAlign w:val="center"/>
          </w:tcPr>
          <w:p>
            <w:pPr>
              <w:pStyle w:val="TableContents"/>
              <w:bidi w:val="0"/>
              <w:spacing w:before="0" w:after="283"/>
              <w:jc w:val="left"/>
              <w:rPr/>
            </w:pPr>
            <w:r>
              <w:rPr/>
              <w:t>Pro Forma Niki Common Stock Outstanding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2,938,625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above adjustments, no adjustments have been made to reflect any results of operations or other transactions entered into subsequent to June 30, 2026. Unless otherwise stated, the adjustments above do not have a recurring effect.</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(f)</w:t>
            </w:r>
          </w:p>
        </w:tc>
        <w:tc>
          <w:tcPr>
            <w:tcW w:w="9951" w:type="dxa"/>
            <w:tcBorders/>
            <w:vAlign w:val="center"/>
          </w:tcPr>
          <w:p>
            <w:pPr>
              <w:pStyle w:val="TableContents"/>
              <w:bidi w:val="0"/>
              <w:spacing w:before="0" w:after="283"/>
              <w:jc w:val="both"/>
              <w:rPr/>
            </w:pPr>
            <w:r>
              <w:rPr/>
              <w:t>Represents the reversal of interest expense on the related party convertible notes that converted into shares of Niki Common Stock in connection with the Merger.</w:t>
            </w:r>
          </w:p>
        </w:tc>
      </w:tr>
    </w:tbl>
    <w:p>
      <w:pPr>
        <w:pStyle w:val="TextBody"/>
        <w:bidi w:val="0"/>
        <w:spacing w:before="0" w:after="0"/>
        <w:ind w:left="960" w:right="0" w:hanging="48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290"/>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(g)</w:t>
            </w:r>
          </w:p>
        </w:tc>
        <w:tc>
          <w:tcPr>
            <w:tcW w:w="6425" w:type="dxa"/>
            <w:tcBorders/>
            <w:vAlign w:val="center"/>
          </w:tcPr>
          <w:p>
            <w:pPr>
              <w:pStyle w:val="TableContents"/>
              <w:bidi w:val="0"/>
              <w:spacing w:before="0" w:after="283"/>
              <w:jc w:val="both"/>
              <w:rPr/>
            </w:pPr>
            <w:r>
              <w:rPr/>
              <w:t>Weighted average shares outstanding on a pro forma basis includes:</w:t>
            </w:r>
          </w:p>
        </w:tc>
      </w:tr>
    </w:tbl>
    <w:p>
      <w:pPr>
        <w:pStyle w:val="TextBody"/>
        <w:bidi w:val="0"/>
        <w:spacing w:before="0" w:after="0"/>
        <w:ind w:left="960" w:right="0" w:hanging="480"/>
        <w:jc w:val="both"/>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7160"/>
        <w:gridCol w:w="60"/>
        <w:gridCol w:w="60"/>
        <w:gridCol w:w="980"/>
        <w:gridCol w:w="75"/>
      </w:tblGrid>
      <w:tr>
        <w:trPr/>
        <w:tc>
          <w:tcPr>
            <w:tcW w:w="7160" w:type="dxa"/>
            <w:tcBorders/>
            <w:shd w:fill="CCEEFF" w:val="clear"/>
            <w:vAlign w:val="center"/>
          </w:tcPr>
          <w:p>
            <w:pPr>
              <w:pStyle w:val="TableContents"/>
              <w:bidi w:val="0"/>
              <w:spacing w:before="0" w:after="283"/>
              <w:ind w:left="0" w:right="0" w:hanging="200"/>
              <w:jc w:val="left"/>
              <w:rPr/>
            </w:pPr>
            <w:r>
              <w:rPr/>
              <w:t>Conversion of Aptorum Class A Ordinary Shares into Niki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634,737</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7160" w:type="dxa"/>
            <w:tcBorders/>
            <w:shd w:fill="FFFFFF" w:val="clear"/>
            <w:vAlign w:val="center"/>
          </w:tcPr>
          <w:p>
            <w:pPr>
              <w:pStyle w:val="TableContents"/>
              <w:bidi w:val="0"/>
              <w:spacing w:before="0" w:after="283"/>
              <w:jc w:val="left"/>
              <w:rPr/>
            </w:pPr>
            <w:r>
              <w:rPr/>
              <w:t>Conversion of Aptorum Class B Ordinary Shares into Niki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179,693</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7160" w:type="dxa"/>
            <w:tcBorders/>
            <w:shd w:fill="CCEEFF" w:val="clear"/>
            <w:vAlign w:val="center"/>
          </w:tcPr>
          <w:p>
            <w:pPr>
              <w:pStyle w:val="TableContents"/>
              <w:bidi w:val="0"/>
              <w:spacing w:before="0" w:after="283"/>
              <w:jc w:val="left"/>
              <w:rPr/>
            </w:pPr>
            <w:r>
              <w:rPr/>
              <w:t>Conversion of note payable into Niki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144,979</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7160" w:type="dxa"/>
            <w:tcBorders/>
            <w:shd w:fill="FFFFFF" w:val="clear"/>
            <w:vAlign w:val="center"/>
          </w:tcPr>
          <w:p>
            <w:pPr>
              <w:pStyle w:val="TableContents"/>
              <w:bidi w:val="0"/>
              <w:spacing w:before="0" w:after="283"/>
              <w:jc w:val="left"/>
              <w:rPr/>
            </w:pPr>
            <w:r>
              <w:rPr/>
              <w:t>Issuance of Niki Common Stock to DiamiR stockholders in the Merger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1,979,216</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7160" w:type="dxa"/>
            <w:tcBorders/>
            <w:shd w:fill="CCEEFF" w:val="clear"/>
            <w:vAlign w:val="center"/>
          </w:tcPr>
          <w:p>
            <w:pPr>
              <w:pStyle w:val="TableContents"/>
              <w:bidi w:val="0"/>
              <w:spacing w:before="0" w:after="283"/>
              <w:jc w:val="left"/>
              <w:rPr/>
            </w:pPr>
            <w:r>
              <w:rPr/>
              <w:t>Warrants issuable for nominal consideration to Wainwright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56,625</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7160" w:type="dxa"/>
            <w:tcBorders/>
            <w:shd w:fill="FFFFFF" w:val="clear"/>
            <w:vAlign w:val="center"/>
          </w:tcPr>
          <w:p>
            <w:pPr>
              <w:pStyle w:val="TableContents"/>
              <w:bidi w:val="0"/>
              <w:spacing w:before="0" w:after="283"/>
              <w:jc w:val="left"/>
              <w:rPr/>
            </w:pPr>
            <w:r>
              <w:rPr/>
              <w:t>Weighted Average Shares Outstanding – Basic and Diluted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2,995,250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(h)</w:t>
            </w:r>
          </w:p>
        </w:tc>
        <w:tc>
          <w:tcPr>
            <w:tcW w:w="9945" w:type="dxa"/>
            <w:tcBorders/>
            <w:vAlign w:val="center"/>
          </w:tcPr>
          <w:p>
            <w:pPr>
              <w:pStyle w:val="TableContents"/>
              <w:bidi w:val="0"/>
              <w:spacing w:before="0" w:after="283"/>
              <w:jc w:val="both"/>
              <w:rPr/>
            </w:pPr>
            <w:r>
              <w:rPr/>
              <w:t>To eliminate transactions and balances between the Company and DiamiR associated with the Management Services Agreement, which was terminated in connection with the closing of the Merger on July 20, 2026. In the condensed combined balance sheet, the adjustments comprise a $212,400 reduction of accounts receivable, a $65,000 reduction of other current assets, a $106,000 reduction of accounts payable and accrued expenses, a $65,000 reduction of loan payable, and a $106,400 charge to accumulated deficit. In the statement of operations for the six months ended June 30, 2026, the adjustments comprise a $654,505 reduction of other income and a $654,505 reduction of general and administrative expenses. In the statement of operations for the year ended December 31, 2025, the adjustments comprise a $408,638 reduction of other income and a $514,838 increase of general and administrative expenses.</w:t>
            </w:r>
          </w:p>
        </w:tc>
      </w:tr>
    </w:tbl>
    <w:p>
      <w:pPr>
        <w:pStyle w:val="TextBody"/>
        <w:bidi w:val="0"/>
        <w:spacing w:before="0" w:after="0"/>
        <w:ind w:left="960" w:right="0" w:hanging="480"/>
        <w:jc w:val="both"/>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38"/>
        <w:gridCol w:w="230"/>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8420" w:type="dxa"/>
            <w:tcBorders/>
            <w:vAlign w:val="center"/>
          </w:tcPr>
          <w:p>
            <w:pPr>
              <w:pStyle w:val="TableContents"/>
              <w:bidi w:val="0"/>
              <w:spacing w:before="0" w:after="283"/>
              <w:jc w:val="both"/>
              <w:rPr/>
            </w:pPr>
            <w:r>
              <w:rPr/>
              <w:t>Amortization of patents based upon an estimated average life of approximately 6.6 years.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34005/000101376224001316/ea0209940-s8_aptorum.htm" TargetMode="External"/><Relationship Id="rId3" Type="http://schemas.openxmlformats.org/officeDocument/2006/relationships/hyperlink" Target="https://www.sec.gov/Archives/edgar/data/1734005/000121390026005167/ea0272660-f3_aptorumgroup.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15357</Words>
  <Characters>84408</Characters>
  <CharactersWithSpaces>101794</CharactersWithSpaces>
  <Paragraphs>5905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