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2544-8k_nikibio.htm"/>
      <w:bookmarkStart w:id="1" w:name="ksea03025448k_nikibi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82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August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28" w:type="dxa"/>
          <w:right w:w="0" w:type="dxa"/>
        </w:tblCellMar>
      </w:tblPr>
      <w:tblGrid>
        <w:gridCol w:w="2570"/>
        <w:gridCol w:w="60"/>
        <w:gridCol w:w="2615"/>
        <w:gridCol w:w="60"/>
        <w:gridCol w:w="1775"/>
      </w:tblGrid>
      <w:tr>
        <w:trPr/>
        <w:tc>
          <w:tcPr>
            <w:tcW w:w="2570" w:type="dxa"/>
            <w:tcBorders>
              <w:bottom w:val="single" w:sz="12" w:space="0" w:color="000000"/>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7_edei--EntityFileNumber_c20260821"/>
            <w:bookmarkEnd w:id="6"/>
            <w:r>
              <w:rPr>
                <w:b/>
              </w:rPr>
              <w:t>001-38764 </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b/>
              </w:rPr>
            </w:pPr>
            <w:bookmarkStart w:id="7" w:name="xdx_90A_edei--EntityTaxIdentificationNum"/>
            <w:bookmarkEnd w:id="7"/>
            <w:r>
              <w:rPr>
                <w:b/>
              </w:rPr>
              <w:t>42-3265309</w:t>
            </w:r>
          </w:p>
        </w:tc>
      </w:tr>
      <w:tr>
        <w:trPr/>
        <w:tc>
          <w:tcPr>
            <w:tcW w:w="257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75"/>
        <w:gridCol w:w="5720"/>
        <w:gridCol w:w="75"/>
      </w:tblGrid>
      <w:tr>
        <w:trPr/>
        <w:tc>
          <w:tcPr>
            <w:tcW w:w="75" w:type="dxa"/>
            <w:tcBorders/>
            <w:vAlign w:val="center"/>
          </w:tcPr>
          <w:p>
            <w:pPr>
              <w:pStyle w:val="TableContents"/>
              <w:bidi w:val="0"/>
              <w:spacing w:before="0" w:after="283"/>
              <w:jc w:val="center"/>
              <w:rPr/>
            </w:pPr>
            <w:r>
              <w:rPr/>
              <w:t> </w:t>
            </w:r>
          </w:p>
        </w:tc>
        <w:tc>
          <w:tcPr>
            <w:tcW w:w="5720" w:type="dxa"/>
            <w:tcBorders>
              <w:bottom w:val="single" w:sz="12" w:space="0" w:color="000000"/>
            </w:tcBorders>
            <w:tcMar>
              <w:bottom w:w="28" w:type="dxa"/>
            </w:tcMar>
            <w:vAlign w:val="center"/>
          </w:tcPr>
          <w:p>
            <w:pPr>
              <w:pStyle w:val="TableContents"/>
              <w:bidi w:val="0"/>
              <w:spacing w:before="0" w:after="283"/>
              <w:jc w:val="center"/>
              <w:rPr>
                <w:b/>
              </w:rPr>
            </w:pPr>
            <w:bookmarkStart w:id="8" w:name="xdx_903_edei--EntityAddressAddressLine1_"/>
            <w:bookmarkEnd w:id="8"/>
            <w:r>
              <w:rPr>
                <w:b/>
              </w:rPr>
              <w:t xml:space="preserve">116 Village Boulevard, </w:t>
            </w:r>
            <w:bookmarkStart w:id="9" w:name="xdx_907_edei--EntityAddressAddressLine2_"/>
            <w:bookmarkEnd w:id="9"/>
            <w:r>
              <w:rPr>
                <w:b/>
              </w:rPr>
              <w:t xml:space="preserve">Suite 200, </w:t>
            </w:r>
            <w:bookmarkStart w:id="10" w:name="xdx_90B_edei--EntityAddressCityOrTown_c2"/>
            <w:bookmarkEnd w:id="10"/>
            <w:r>
              <w:rPr>
                <w:b/>
              </w:rPr>
              <w:t xml:space="preserve">Princeton, </w:t>
            </w:r>
            <w:bookmarkStart w:id="11" w:name="xdx_909_edei--EntityAddressStateOrProvin"/>
            <w:bookmarkEnd w:id="11"/>
            <w:r>
              <w:rPr>
                <w:b/>
              </w:rPr>
              <w:t xml:space="preserve">NJ </w:t>
            </w:r>
            <w:bookmarkStart w:id="12" w:name="xdx_90A_edei--EntityAddressPostalZipCode"/>
            <w:bookmarkEnd w:id="12"/>
            <w:r>
              <w:rPr>
                <w:b/>
              </w:rPr>
              <w:t>08540</w:t>
            </w:r>
          </w:p>
        </w:tc>
        <w:tc>
          <w:tcPr>
            <w:tcW w:w="75"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center"/>
              <w:rPr/>
            </w:pPr>
            <w:r>
              <w:rPr/>
              <w:t> </w:t>
            </w:r>
          </w:p>
        </w:tc>
        <w:tc>
          <w:tcPr>
            <w:tcW w:w="5720" w:type="dxa"/>
            <w:tcBorders/>
            <w:vAlign w:val="center"/>
          </w:tcPr>
          <w:p>
            <w:pPr>
              <w:pStyle w:val="TableContents"/>
              <w:bidi w:val="0"/>
              <w:spacing w:before="0" w:after="283"/>
              <w:jc w:val="center"/>
              <w:rPr/>
            </w:pPr>
            <w:r>
              <w:rPr/>
              <w:t>(Address of Principal Executive Offices, including zip code)</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A_edei--CityAreaCode_c20260821__20"/>
      <w:bookmarkEnd w:id="13"/>
      <w:r>
        <w:rPr>
          <w:rFonts w:ascii="Times New Roman;Times;Serif" w:hAnsi="Times New Roman;Times;Serif"/>
          <w:b w:val="false"/>
          <w:i w:val="false"/>
          <w:caps w:val="false"/>
          <w:smallCaps w:val="false"/>
          <w:sz w:val="20"/>
        </w:rPr>
        <w:t>609-</w:t>
      </w:r>
      <w:bookmarkStart w:id="14" w:name="xdx_905_edei--LocalPhoneNumber_c20260821"/>
      <w:bookmarkEnd w:id="14"/>
      <w:r>
        <w:rPr>
          <w:rFonts w:ascii="Times New Roman;Times;Serif" w:hAnsi="Times New Roman;Times;Serif"/>
          <w:b w:val="false"/>
          <w:i w:val="false"/>
          <w:caps w:val="false"/>
          <w:smallCaps w:val="false"/>
          <w:sz w:val="20"/>
        </w:rPr>
        <w:t>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F_edei--EntityInformationFormerLeg"/>
      <w:bookmarkEnd w:id="15"/>
      <w:r>
        <w:rPr>
          <w:rFonts w:ascii="Times New Roman;Times;Serif" w:hAnsi="Times New Roman;Times;Serif"/>
          <w:b w:val="false"/>
          <w:i w:val="false"/>
          <w:caps w:val="false"/>
          <w:smallCaps w:val="false"/>
          <w:sz w:val="20"/>
        </w:rPr>
        <w:t>Aptorum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6" w:name="xdx_907_edei--EntityAddressAddressLine3_"/>
      <w:bookmarkEnd w:id="16"/>
      <w:r>
        <w:rPr>
          <w:rFonts w:ascii="Times New Roman;Times;Serif" w:hAnsi="Times New Roman;Times;Serif"/>
          <w:b w:val="false"/>
          <w:i w:val="false"/>
          <w:caps w:val="false"/>
          <w:smallCaps w:val="false"/>
          <w:sz w:val="20"/>
        </w:rPr>
        <w:t>17 Hanover Square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7" w:name="xdx_90A_ecustom--EntityAddressCityOrTown"/>
      <w:bookmarkEnd w:id="17"/>
      <w:r>
        <w:rPr>
          <w:rFonts w:ascii="Times New Roman;Times;Serif" w:hAnsi="Times New Roman;Times;Serif"/>
          <w:b w:val="false"/>
          <w:i w:val="false"/>
          <w:caps w:val="false"/>
          <w:smallCaps w:val="false"/>
          <w:sz w:val="20"/>
        </w:rPr>
        <w:t xml:space="preserve">London </w:t>
      </w:r>
      <w:bookmarkStart w:id="18" w:name="xdx_901_ecustom--EntityAddressPostalZipC"/>
      <w:bookmarkEnd w:id="18"/>
      <w:r>
        <w:rPr>
          <w:rFonts w:ascii="Times New Roman;Times;Serif" w:hAnsi="Times New Roman;Times;Serif"/>
          <w:b w:val="false"/>
          <w:i w:val="false"/>
          <w:caps w:val="false"/>
          <w:smallCaps w:val="false"/>
          <w:sz w:val="20"/>
        </w:rPr>
        <w:t xml:space="preserve">W1S 1BN, </w:t>
      </w:r>
      <w:bookmarkStart w:id="19" w:name="xdx_90A_edei--EntityAddressCountry_c2026"/>
      <w:bookmarkEnd w:id="19"/>
      <w:r>
        <w:rPr>
          <w:rFonts w:ascii="Times New Roman;Times;Serif" w:hAnsi="Times New Roman;Times;Serif"/>
          <w:b w:val="false"/>
          <w:i w:val="false"/>
          <w:caps w:val="false"/>
          <w:smallCaps w:val="false"/>
          <w:sz w:val="20"/>
        </w:rPr>
        <w:t>United Kingdom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20" w:name="xdx_90E_edei--WrittenCommunications_c202"/>
            <w:bookmarkEnd w:id="20"/>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21" w:name="xdx_906_edei--SolicitingMaterial_c202608"/>
            <w:bookmarkEnd w:id="21"/>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2" w:name="xdx_902_edei--PreCommencementTenderOffer"/>
            <w:bookmarkEnd w:id="22"/>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23" w:name="xdx_90D_edei--PreCommencementIssuerTende"/>
            <w:bookmarkEnd w:id="23"/>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93"/>
        <w:gridCol w:w="60"/>
        <w:gridCol w:w="1851"/>
        <w:gridCol w:w="60"/>
        <w:gridCol w:w="4241"/>
      </w:tblGrid>
      <w:tr>
        <w:trPr/>
        <w:tc>
          <w:tcPr>
            <w:tcW w:w="3993"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51"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41"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993" w:type="dxa"/>
            <w:tcBorders/>
            <w:shd w:fill="CCEEFF" w:val="clear"/>
            <w:tcMar>
              <w:bottom w:w="0" w:type="dxa"/>
            </w:tcMar>
            <w:vAlign w:val="center"/>
          </w:tcPr>
          <w:p>
            <w:pPr>
              <w:pStyle w:val="TableContents"/>
              <w:bidi w:val="0"/>
              <w:spacing w:before="0" w:after="283"/>
              <w:jc w:val="center"/>
              <w:rPr/>
            </w:pPr>
            <w:bookmarkStart w:id="24" w:name="xdx_908_edei--Security12bTitle_c20260821"/>
            <w:bookmarkEnd w:id="24"/>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51" w:type="dxa"/>
            <w:tcBorders/>
            <w:shd w:fill="CCEEFF" w:val="clear"/>
            <w:tcMar>
              <w:bottom w:w="0" w:type="dxa"/>
            </w:tcMar>
            <w:vAlign w:val="center"/>
          </w:tcPr>
          <w:p>
            <w:pPr>
              <w:pStyle w:val="TableContents"/>
              <w:bidi w:val="0"/>
              <w:spacing w:before="0" w:after="283"/>
              <w:jc w:val="center"/>
              <w:rPr/>
            </w:pPr>
            <w:bookmarkStart w:id="25" w:name="xdx_904_edei--TradingSymbol_c20260821__2"/>
            <w:bookmarkEnd w:id="25"/>
            <w:r>
              <w:rPr/>
              <w:t>NIKI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41" w:type="dxa"/>
            <w:tcBorders/>
            <w:shd w:fill="CCEEFF" w:val="clear"/>
            <w:tcMar>
              <w:bottom w:w="0" w:type="dxa"/>
            </w:tcMar>
            <w:vAlign w:val="center"/>
          </w:tcPr>
          <w:p>
            <w:pPr>
              <w:pStyle w:val="TableContents"/>
              <w:bidi w:val="0"/>
              <w:spacing w:before="0" w:after="283"/>
              <w:jc w:val="center"/>
              <w:rPr/>
            </w:pPr>
            <w:r>
              <w:rPr/>
              <w:t xml:space="preserve">The </w:t>
            </w:r>
            <w:bookmarkStart w:id="26" w:name="xdx_906_edei--SecurityExchangeName_c2026"/>
            <w:bookmarkEnd w:id="26"/>
            <w:r>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7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disclosed in its Current Report on Form 8-K filed with the Securities and Exchange Commission on July 20, 2026 (the “Original Form 8-K”), on that same day (the “Closing Date”), after obtaining the requisite shareholder approval and satisfying the closing conditions, Niki BioSolutions, Inc. (formerly known as Aptorum Group Limited, </w:t>
      </w:r>
      <w:r>
        <w:rPr>
          <w:rFonts w:ascii="Times New Roman;Times;Serif" w:hAnsi="Times New Roman;Times;Serif"/>
          <w:b w:val="false"/>
          <w:i w:val="false"/>
          <w:caps w:val="false"/>
          <w:smallCaps w:val="false"/>
          <w:sz w:val="20"/>
          <w:shd w:fill="FFFFFF" w:val="clear"/>
        </w:rPr>
        <w:t>a Cayman Islands exempted company with limited liability (“Aptorum”)</w:t>
      </w:r>
      <w:r>
        <w:rPr>
          <w:rFonts w:ascii="Times New Roman;Times;Serif" w:hAnsi="Times New Roman;Times;Serif"/>
          <w:b w:val="false"/>
          <w:i w:val="false"/>
          <w:caps w:val="false"/>
          <w:smallCaps w:val="false"/>
          <w:sz w:val="20"/>
        </w:rPr>
        <w:t>) (the “Company”)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Date,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Domestication resulted in a change from foreign private issuer status and filing requirements to domestic issuer status and filing requirements, we are furnishing this Form 8-K to provide six-months interim consolidated financial statements ended June 30, 2026, and to incorporate such consolidated financial statements into the Company’s registration statements referenced below.</w:t>
      </w:r>
    </w:p>
    <w:p>
      <w:pPr>
        <w:pStyle w:val="TextBody"/>
        <w:shd w:fill="FFFFFF" w:val="clear"/>
        <w:bidi w:val="0"/>
        <w:spacing w:before="0" w:after="0"/>
        <w:ind w:left="0" w:right="0" w:firstLine="546"/>
        <w:jc w:val="left"/>
        <w:rPr>
          <w:caps w:val="false"/>
          <w:smallCaps w:val="false"/>
        </w:rPr>
      </w:pPr>
      <w:r>
        <w:rPr>
          <w:caps w:val="false"/>
          <w:smallCaps w:val="false"/>
        </w:rPr>
        <w:t> </w:t>
      </w:r>
    </w:p>
    <w:p>
      <w:pPr>
        <w:pStyle w:val="TextBody"/>
        <w:shd w:fill="FFFFFF" w:val="clear"/>
        <w:bidi w:val="0"/>
        <w:spacing w:before="0" w:after="0"/>
        <w:ind w:left="0" w:right="0" w:hanging="0"/>
        <w:jc w:val="both"/>
        <w:rPr/>
      </w:pPr>
      <w:r>
        <w:rPr>
          <w:rFonts w:ascii="Times New Roman;Times;Serif" w:hAnsi="Times New Roman;Times;Serif"/>
          <w:b w:val="false"/>
          <w:i w:val="false"/>
          <w:caps w:val="false"/>
          <w:smallCaps w:val="false"/>
          <w:sz w:val="20"/>
        </w:rPr>
        <w:t>This Form 8-K is hereby incorporated by reference into the registration statements of the Company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(Registration Number 333-281028) and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(Registration Number 333-292793) and into each prospectus outstanding under the foregoing registration statements, to the extent not superseded by documents or reports subsequently filed or furnished by the Company under the Securities Act of 1933, as amended, or the Securities Exchange Act of 1934, as amended.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00"/>
        <w:gridCol w:w="60"/>
        <w:gridCol w:w="9145"/>
      </w:tblGrid>
      <w:tr>
        <w:trPr/>
        <w:tc>
          <w:tcPr>
            <w:tcW w:w="1000"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both"/>
              <w:rPr/>
            </w:pPr>
            <w:r>
              <w:rPr/>
              <w:t> </w:t>
            </w:r>
          </w:p>
        </w:tc>
        <w:tc>
          <w:tcPr>
            <w:tcW w:w="9145" w:type="dxa"/>
            <w:tcBorders>
              <w:bottom w:val="single" w:sz="12" w:space="0" w:color="000000"/>
            </w:tcBorders>
            <w:vAlign w:val="center"/>
          </w:tcPr>
          <w:p>
            <w:pPr>
              <w:pStyle w:val="TableContents"/>
              <w:bidi w:val="0"/>
              <w:spacing w:before="0" w:after="283"/>
              <w:jc w:val="both"/>
              <w:rPr>
                <w:b/>
              </w:rPr>
            </w:pPr>
            <w:r>
              <w:rPr>
                <w:b/>
              </w:rPr>
              <w:t>Description</w:t>
            </w:r>
          </w:p>
        </w:tc>
      </w:tr>
      <w:tr>
        <w:trPr/>
        <w:tc>
          <w:tcPr>
            <w:tcW w:w="1000" w:type="dxa"/>
            <w:tcBorders/>
            <w:shd w:fill="CCEEFF" w:val="clear"/>
            <w:tcMar>
              <w:bottom w:w="0" w:type="dxa"/>
            </w:tcMar>
            <w:vAlign w:val="center"/>
          </w:tcPr>
          <w:p>
            <w:pPr>
              <w:pStyle w:val="TableContents"/>
              <w:bidi w:val="0"/>
              <w:spacing w:before="0" w:after="283"/>
              <w:jc w:val="both"/>
              <w:rPr/>
            </w:pPr>
            <w:r>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45" w:type="dxa"/>
            <w:tcBorders/>
            <w:shd w:fill="CCEEFF" w:val="clear"/>
            <w:tcMar>
              <w:bottom w:w="0" w:type="dxa"/>
            </w:tcMar>
            <w:vAlign w:val="center"/>
          </w:tcPr>
          <w:p>
            <w:pPr>
              <w:pStyle w:val="TableContents"/>
              <w:bidi w:val="0"/>
              <w:spacing w:before="0" w:after="283"/>
              <w:jc w:val="both"/>
              <w:rPr/>
            </w:pPr>
            <w:hyperlink w:anchor="ea030254401ex99-1.htm">
              <w:r>
                <w:rPr>
                  <w:rStyle w:val="InternetLink"/>
                </w:rPr>
                <w:t>Unaudited Interim Condensed Consolidated Financial Statements as of June 30, 2026 and December 31, 2025, and for the Six Months Ended June 30, 2026 and 2025</w:t>
              </w:r>
            </w:hyperlink>
          </w:p>
        </w:tc>
      </w:tr>
      <w:tr>
        <w:trPr/>
        <w:tc>
          <w:tcPr>
            <w:tcW w:w="1000" w:type="dxa"/>
            <w:tcBorders/>
            <w:shd w:fill="FFFFFF" w:val="clear"/>
            <w:tcMar>
              <w:bottom w:w="0" w:type="dxa"/>
            </w:tcMar>
            <w:vAlign w:val="center"/>
          </w:tcPr>
          <w:p>
            <w:pPr>
              <w:pStyle w:val="TableContents"/>
              <w:bidi w:val="0"/>
              <w:spacing w:before="0" w:after="283"/>
              <w:jc w:val="both"/>
              <w:rPr/>
            </w:pPr>
            <w:r>
              <w:rPr/>
              <w:t>99.2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145" w:type="dxa"/>
            <w:tcBorders/>
            <w:shd w:fill="FFFFFF" w:val="clear"/>
            <w:tcMar>
              <w:bottom w:w="0" w:type="dxa"/>
            </w:tcMar>
            <w:vAlign w:val="center"/>
          </w:tcPr>
          <w:p>
            <w:pPr>
              <w:pStyle w:val="TableContents"/>
              <w:bidi w:val="0"/>
              <w:spacing w:before="0" w:after="283"/>
              <w:jc w:val="both"/>
              <w:rPr/>
            </w:pPr>
            <w:hyperlink w:anchor="ea030254401ex99-2.htm">
              <w:r>
                <w:rPr>
                  <w:rStyle w:val="InternetLink"/>
                </w:rPr>
                <w:t>Operating and Financial Review and Prospects in Connection with the Unaudited Interim Consolidated Financial Statements for the Six Months Ended June 30, 2026 and 2025</w:t>
              </w:r>
            </w:hyperlink>
          </w:p>
        </w:tc>
      </w:tr>
      <w:tr>
        <w:trPr/>
        <w:tc>
          <w:tcPr>
            <w:tcW w:w="1000"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9145" w:type="dxa"/>
            <w:tcBorders/>
            <w:shd w:fill="CCEEFF" w:val="clear"/>
            <w:tcMar>
              <w:bottom w:w="0" w:type="dxa"/>
            </w:tcMar>
            <w:vAlign w:val="center"/>
          </w:tcPr>
          <w:p>
            <w:pPr>
              <w:pStyle w:val="TableContents"/>
              <w:bidi w:val="0"/>
              <w:spacing w:before="0" w:after="283"/>
              <w:jc w:val="both"/>
              <w:rPr/>
            </w:pPr>
            <w:r>
              <w:rPr/>
              <w:t>Cover Page Interactive Data File,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21, 2026</w:t>
      </w:r>
    </w:p>
    <w:p>
      <w:pPr>
        <w:pStyle w:val="TextBody"/>
        <w:bidi w:val="0"/>
        <w:spacing w:before="0" w:after="0"/>
        <w:ind w:left="0" w:right="0" w:hanging="0"/>
        <w:jc w:val="left"/>
        <w:rPr>
          <w:caps w:val="false"/>
          <w:smallCaps w:val="false"/>
        </w:rPr>
      </w:pPr>
      <w:r>
        <w:rPr>
          <w:caps w:val="false"/>
          <w:smallCaps w:val="false"/>
        </w:rPr>
        <w:t> </w:t>
      </w:r>
    </w:p>
    <w:tbl>
      <w:tblPr>
        <w:tblW w:w="3184" w:type="dxa"/>
        <w:jc w:val="left"/>
        <w:tblInd w:w="0" w:type="dxa"/>
        <w:tblLayout w:type="fixed"/>
        <w:tblCellMar>
          <w:top w:w="0" w:type="dxa"/>
          <w:left w:w="0" w:type="dxa"/>
          <w:bottom w:w="0" w:type="dxa"/>
          <w:right w:w="0" w:type="dxa"/>
        </w:tblCellMar>
      </w:tblPr>
      <w:tblGrid>
        <w:gridCol w:w="75"/>
        <w:gridCol w:w="425"/>
        <w:gridCol w:w="2684"/>
      </w:tblGrid>
      <w:tr>
        <w:trPr/>
        <w:tc>
          <w:tcPr>
            <w:tcW w:w="75"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b/>
              </w:rPr>
            </w:pPr>
            <w:r>
              <w:rPr>
                <w:b/>
              </w:rPr>
              <w:t>NIKI BIOSOLUTIONS, INC.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By:</w:t>
            </w:r>
          </w:p>
        </w:tc>
        <w:tc>
          <w:tcPr>
            <w:tcW w:w="2684" w:type="dxa"/>
            <w:tcBorders>
              <w:bottom w:val="single" w:sz="12" w:space="0" w:color="000000"/>
            </w:tcBorders>
            <w:tcMar>
              <w:bottom w:w="28" w:type="dxa"/>
            </w:tcMar>
            <w:vAlign w:val="center"/>
          </w:tcPr>
          <w:p>
            <w:pPr>
              <w:pStyle w:val="TableContents"/>
              <w:bidi w:val="0"/>
              <w:spacing w:before="0" w:after="283"/>
              <w:jc w:val="left"/>
              <w:rPr>
                <w:i/>
              </w:rPr>
            </w:pPr>
            <w:r>
              <w:rPr>
                <w:i/>
              </w:rPr>
              <w:t>/s/ 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Ian Huen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684"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8" w:name="ea030254401ex99-1.htm"/>
      <w:bookmarkStart w:id="29" w:name="ksea030254401ex991"/>
      <w:bookmarkEnd w:id="28"/>
      <w:bookmarkEnd w:id="29"/>
      <w:r>
        <w:rPr>
          <w:b/>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3"/>
        <w:gridCol w:w="60"/>
        <w:gridCol w:w="332"/>
      </w:tblGrid>
      <w:tr>
        <w:trPr/>
        <w:tc>
          <w:tcPr>
            <w:tcW w:w="9813" w:type="dxa"/>
            <w:tcBorders/>
            <w:shd w:fill="CCEEFF" w:val="clear"/>
            <w:vAlign w:val="center"/>
          </w:tcPr>
          <w:p>
            <w:pPr>
              <w:pStyle w:val="TableContents"/>
              <w:bidi w:val="0"/>
              <w:spacing w:before="0" w:after="283"/>
              <w:ind w:left="0" w:right="0" w:hanging="180"/>
              <w:jc w:val="left"/>
              <w:rPr/>
            </w:pPr>
            <w:hyperlink w:anchor="k_001">
              <w:r>
                <w:rPr>
                  <w:rStyle w:val="InternetLink"/>
                </w:rPr>
                <w:t>Unaudited Condensed Consolidated Balance Sheets as of June 30, 2026 and December 31, 2025</w:t>
              </w:r>
            </w:hyperlink>
          </w:p>
        </w:tc>
        <w:tc>
          <w:tcPr>
            <w:tcW w:w="60" w:type="dxa"/>
            <w:tcBorders/>
            <w:shd w:fill="CCEEFF" w:val="clear"/>
            <w:vAlign w:val="center"/>
          </w:tcPr>
          <w:p>
            <w:pPr>
              <w:pStyle w:val="TableContents"/>
              <w:bidi w:val="0"/>
              <w:spacing w:before="0" w:after="283"/>
              <w:jc w:val="center"/>
              <w:rPr/>
            </w:pPr>
            <w:r>
              <w:rPr/>
              <w:t> </w:t>
            </w:r>
          </w:p>
        </w:tc>
        <w:tc>
          <w:tcPr>
            <w:tcW w:w="332" w:type="dxa"/>
            <w:tcBorders/>
            <w:shd w:fill="CCEEFF" w:val="clear"/>
            <w:vAlign w:val="center"/>
          </w:tcPr>
          <w:p>
            <w:pPr>
              <w:pStyle w:val="TableContents"/>
              <w:bidi w:val="0"/>
              <w:spacing w:before="0" w:after="283"/>
              <w:ind w:left="0" w:right="0" w:hanging="180"/>
              <w:jc w:val="center"/>
              <w:rPr/>
            </w:pPr>
            <w:r>
              <w:rPr/>
              <w:t>F-2</w:t>
            </w:r>
          </w:p>
        </w:tc>
      </w:tr>
      <w:tr>
        <w:trPr/>
        <w:tc>
          <w:tcPr>
            <w:tcW w:w="9813" w:type="dxa"/>
            <w:tcBorders/>
            <w:shd w:fill="FFFFFF" w:val="clear"/>
            <w:vAlign w:val="center"/>
          </w:tcPr>
          <w:p>
            <w:pPr>
              <w:pStyle w:val="TableContents"/>
              <w:bidi w:val="0"/>
              <w:spacing w:before="0" w:after="283"/>
              <w:jc w:val="left"/>
              <w:rPr/>
            </w:pPr>
            <w:hyperlink w:anchor="k_002">
              <w:r>
                <w:rPr>
                  <w:rStyle w:val="InternetLink"/>
                </w:rPr>
                <w:t>Unaudited Condensed Consolidated Statements of Operations and Comprehensive Loss for the six months ended June 30, 2026 and 2025</w:t>
              </w:r>
            </w:hyperlink>
          </w:p>
        </w:tc>
        <w:tc>
          <w:tcPr>
            <w:tcW w:w="60" w:type="dxa"/>
            <w:tcBorders/>
            <w:shd w:fill="FFFFFF" w:val="clear"/>
            <w:vAlign w:val="center"/>
          </w:tcPr>
          <w:p>
            <w:pPr>
              <w:pStyle w:val="TableContents"/>
              <w:bidi w:val="0"/>
              <w:spacing w:before="0" w:after="283"/>
              <w:jc w:val="center"/>
              <w:rPr/>
            </w:pPr>
            <w:r>
              <w:rPr/>
              <w:t> </w:t>
            </w:r>
          </w:p>
        </w:tc>
        <w:tc>
          <w:tcPr>
            <w:tcW w:w="332" w:type="dxa"/>
            <w:tcBorders/>
            <w:shd w:fill="FFFFFF" w:val="clear"/>
            <w:vAlign w:val="center"/>
          </w:tcPr>
          <w:p>
            <w:pPr>
              <w:pStyle w:val="TableContents"/>
              <w:bidi w:val="0"/>
              <w:spacing w:before="0" w:after="283"/>
              <w:ind w:left="0" w:right="0" w:hanging="180"/>
              <w:jc w:val="center"/>
              <w:rPr/>
            </w:pPr>
            <w:r>
              <w:rPr/>
              <w:t>F-3</w:t>
            </w:r>
          </w:p>
        </w:tc>
      </w:tr>
      <w:tr>
        <w:trPr/>
        <w:tc>
          <w:tcPr>
            <w:tcW w:w="9813" w:type="dxa"/>
            <w:tcBorders/>
            <w:shd w:fill="CCEEFF" w:val="clear"/>
            <w:vAlign w:val="center"/>
          </w:tcPr>
          <w:p>
            <w:pPr>
              <w:pStyle w:val="TableContents"/>
              <w:bidi w:val="0"/>
              <w:spacing w:before="0" w:after="283"/>
              <w:jc w:val="left"/>
              <w:rPr/>
            </w:pPr>
            <w:hyperlink w:anchor="k_003">
              <w:r>
                <w:rPr>
                  <w:rStyle w:val="InternetLink"/>
                </w:rPr>
                <w:t>Unaudited Condensed Consolidated Statements of Changes in Equity for the six months ended June 30, 2026 and 2025</w:t>
              </w:r>
            </w:hyperlink>
          </w:p>
        </w:tc>
        <w:tc>
          <w:tcPr>
            <w:tcW w:w="60" w:type="dxa"/>
            <w:tcBorders/>
            <w:shd w:fill="CCEEFF" w:val="clear"/>
            <w:vAlign w:val="center"/>
          </w:tcPr>
          <w:p>
            <w:pPr>
              <w:pStyle w:val="TableContents"/>
              <w:bidi w:val="0"/>
              <w:spacing w:before="0" w:after="283"/>
              <w:jc w:val="center"/>
              <w:rPr/>
            </w:pPr>
            <w:r>
              <w:rPr/>
              <w:t> </w:t>
            </w:r>
          </w:p>
        </w:tc>
        <w:tc>
          <w:tcPr>
            <w:tcW w:w="332" w:type="dxa"/>
            <w:tcBorders/>
            <w:shd w:fill="CCEEFF" w:val="clear"/>
            <w:vAlign w:val="center"/>
          </w:tcPr>
          <w:p>
            <w:pPr>
              <w:pStyle w:val="TableContents"/>
              <w:bidi w:val="0"/>
              <w:spacing w:before="0" w:after="283"/>
              <w:ind w:left="0" w:right="0" w:hanging="180"/>
              <w:jc w:val="center"/>
              <w:rPr/>
            </w:pPr>
            <w:r>
              <w:rPr/>
              <w:t>F-4</w:t>
            </w:r>
          </w:p>
        </w:tc>
      </w:tr>
      <w:tr>
        <w:trPr/>
        <w:tc>
          <w:tcPr>
            <w:tcW w:w="9813" w:type="dxa"/>
            <w:tcBorders/>
            <w:shd w:fill="FFFFFF" w:val="clear"/>
            <w:vAlign w:val="center"/>
          </w:tcPr>
          <w:p>
            <w:pPr>
              <w:pStyle w:val="TableContents"/>
              <w:bidi w:val="0"/>
              <w:spacing w:before="0" w:after="283"/>
              <w:jc w:val="left"/>
              <w:rPr/>
            </w:pPr>
            <w:hyperlink w:anchor="k_004">
              <w:r>
                <w:rPr>
                  <w:rStyle w:val="InternetLink"/>
                </w:rPr>
                <w:t>Unaudited Condensed Consolidated Statements of Cash Flows for the six months ended June 30, 2026 and 2025</w:t>
              </w:r>
            </w:hyperlink>
          </w:p>
        </w:tc>
        <w:tc>
          <w:tcPr>
            <w:tcW w:w="60" w:type="dxa"/>
            <w:tcBorders/>
            <w:shd w:fill="FFFFFF" w:val="clear"/>
            <w:vAlign w:val="center"/>
          </w:tcPr>
          <w:p>
            <w:pPr>
              <w:pStyle w:val="TableContents"/>
              <w:bidi w:val="0"/>
              <w:spacing w:before="0" w:after="283"/>
              <w:jc w:val="center"/>
              <w:rPr/>
            </w:pPr>
            <w:r>
              <w:rPr/>
              <w:t> </w:t>
            </w:r>
          </w:p>
        </w:tc>
        <w:tc>
          <w:tcPr>
            <w:tcW w:w="332" w:type="dxa"/>
            <w:tcBorders/>
            <w:shd w:fill="FFFFFF" w:val="clear"/>
            <w:vAlign w:val="center"/>
          </w:tcPr>
          <w:p>
            <w:pPr>
              <w:pStyle w:val="TableContents"/>
              <w:bidi w:val="0"/>
              <w:spacing w:before="0" w:after="283"/>
              <w:ind w:left="0" w:right="0" w:hanging="180"/>
              <w:jc w:val="center"/>
              <w:rPr/>
            </w:pPr>
            <w:r>
              <w:rPr/>
              <w:t>F-5</w:t>
            </w:r>
          </w:p>
        </w:tc>
      </w:tr>
      <w:tr>
        <w:trPr/>
        <w:tc>
          <w:tcPr>
            <w:tcW w:w="9813" w:type="dxa"/>
            <w:tcBorders/>
            <w:shd w:fill="CCEEFF" w:val="clear"/>
            <w:vAlign w:val="center"/>
          </w:tcPr>
          <w:p>
            <w:pPr>
              <w:pStyle w:val="TableContents"/>
              <w:bidi w:val="0"/>
              <w:spacing w:before="0" w:after="283"/>
              <w:jc w:val="left"/>
              <w:rPr/>
            </w:pPr>
            <w:hyperlink w:anchor="k_005">
              <w:r>
                <w:rPr>
                  <w:rStyle w:val="InternetLink"/>
                </w:rPr>
                <w:t>Notes to Unaudited Condensed Consolidated Financial Statements</w:t>
              </w:r>
            </w:hyperlink>
            <w:r>
              <w:rPr/>
              <w:t xml:space="preserve"> </w:t>
            </w:r>
          </w:p>
        </w:tc>
        <w:tc>
          <w:tcPr>
            <w:tcW w:w="60" w:type="dxa"/>
            <w:tcBorders/>
            <w:shd w:fill="CCEEFF" w:val="clear"/>
            <w:vAlign w:val="center"/>
          </w:tcPr>
          <w:p>
            <w:pPr>
              <w:pStyle w:val="TableContents"/>
              <w:bidi w:val="0"/>
              <w:spacing w:before="0" w:after="283"/>
              <w:jc w:val="center"/>
              <w:rPr/>
            </w:pPr>
            <w:r>
              <w:rPr/>
              <w:t> </w:t>
            </w:r>
          </w:p>
        </w:tc>
        <w:tc>
          <w:tcPr>
            <w:tcW w:w="332" w:type="dxa"/>
            <w:tcBorders/>
            <w:shd w:fill="CCEEFF" w:val="clear"/>
            <w:vAlign w:val="center"/>
          </w:tcPr>
          <w:p>
            <w:pPr>
              <w:pStyle w:val="TableContents"/>
              <w:bidi w:val="0"/>
              <w:spacing w:before="0" w:after="283"/>
              <w:jc w:val="center"/>
              <w:rPr/>
            </w:pPr>
            <w:r>
              <w:rPr/>
              <w:t>F-6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k_001"/>
      <w:bookmarkEnd w:id="30"/>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 and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5"/>
        <w:gridCol w:w="60"/>
        <w:gridCol w:w="140"/>
        <w:gridCol w:w="1175"/>
        <w:gridCol w:w="95"/>
        <w:gridCol w:w="60"/>
        <w:gridCol w:w="140"/>
        <w:gridCol w:w="1340"/>
        <w:gridCol w:w="11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1,834,171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3,452,891</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Other receivables and prepayments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200,909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139,633</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2,035,080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3,592,524</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15,098,846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15,098,846</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17,133,926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18,691,370</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LIABILITIES AND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79,180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340" w:type="dxa"/>
            <w:tcBorders/>
            <w:shd w:fill="CCEEFF" w:val="clear"/>
            <w:vAlign w:val="center"/>
          </w:tcPr>
          <w:p>
            <w:pPr>
              <w:pStyle w:val="TableContents"/>
              <w:bidi w:val="0"/>
              <w:spacing w:before="0" w:after="283"/>
              <w:jc w:val="right"/>
              <w:rPr/>
            </w:pPr>
            <w:r>
              <w:rPr/>
              <w:t>79,180</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922,818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1,071,715</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24,428</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Convertible notes to a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3,508,500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3,418,500</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4,510,498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4,593,823</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142,000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4,652,498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double" w:sz="10" w:space="0" w:color="000000"/>
            </w:tcBorders>
            <w:shd w:fill="CCEEFF" w:val="clear"/>
            <w:tcMar>
              <w:bottom w:w="28" w:type="dxa"/>
            </w:tcMar>
            <w:vAlign w:val="center"/>
          </w:tcPr>
          <w:p>
            <w:pPr>
              <w:pStyle w:val="TableContents"/>
              <w:bidi w:val="0"/>
              <w:spacing w:before="0" w:after="283"/>
              <w:jc w:val="right"/>
              <w:rPr/>
            </w:pPr>
            <w:r>
              <w:rPr/>
              <w:t>4,899,823</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Commitments and contingencies (Note 17)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TEMPORARY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Contingently redeemable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47,000</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Total temporary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47,000</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085" w:type="dxa"/>
            <w:tcBorders/>
            <w:shd w:fill="FFFFFF" w:val="clear"/>
            <w:vAlign w:val="center"/>
          </w:tcPr>
          <w:p>
            <w:pPr>
              <w:pStyle w:val="TableContents"/>
              <w:bidi w:val="0"/>
              <w:spacing w:before="0" w:after="283"/>
              <w:jc w:val="left"/>
              <w:rPr/>
            </w:pPr>
            <w:r>
              <w:rPr/>
              <w:t>Class A Ordinary Shares ($0.0001 par value, 999,999,600,000 shares authorized, 634,682 shares issued and outstanding as of June 30, 2026 and as of December 31, 2025(1))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62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085" w:type="dxa"/>
            <w:tcBorders/>
            <w:shd w:fill="CCEEFF" w:val="clear"/>
            <w:vAlign w:val="center"/>
          </w:tcPr>
          <w:p>
            <w:pPr>
              <w:pStyle w:val="TableContents"/>
              <w:bidi w:val="0"/>
              <w:spacing w:before="0" w:after="283"/>
              <w:jc w:val="left"/>
              <w:rPr/>
            </w:pPr>
            <w:r>
              <w:rPr/>
              <w:t>Class B Ordinary Shares ($0.0001 par value; 400,000 shares authorized, 179,693 shares issued and outstanding as of June 30, 2026 and December 31, 2025(1))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18</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97,000,188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pPr>
            <w:r>
              <w:rPr/>
              <w:t>97,000,188</w:t>
            </w:r>
          </w:p>
        </w:tc>
        <w:tc>
          <w:tcPr>
            <w:tcW w:w="110"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(95,129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(92,310</w:t>
            </w:r>
          </w:p>
        </w:tc>
        <w:tc>
          <w:tcPr>
            <w:tcW w:w="110" w:type="dxa"/>
            <w:tcBorders/>
            <w:shd w:fill="CCEEFF"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(75,118,802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(73,792,798</w:t>
            </w:r>
          </w:p>
        </w:tc>
        <w:tc>
          <w:tcPr>
            <w:tcW w:w="110"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b/>
              </w:rPr>
            </w:pPr>
            <w:r>
              <w:rPr>
                <w:b/>
              </w:rPr>
              <w:t>Total equity attributable to the shareholders of Niki BioSolutions,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21,786,337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23,115,160</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(9,351,909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FFFFFF" w:val="clear"/>
            <w:tcMar>
              <w:bottom w:w="28" w:type="dxa"/>
            </w:tcMar>
            <w:vAlign w:val="center"/>
          </w:tcPr>
          <w:p>
            <w:pPr>
              <w:pStyle w:val="TableContents"/>
              <w:bidi w:val="0"/>
              <w:spacing w:before="0" w:after="283"/>
              <w:jc w:val="right"/>
              <w:rPr/>
            </w:pPr>
            <w:r>
              <w:rPr/>
              <w:t>(9,370,613</w:t>
            </w:r>
          </w:p>
        </w:tc>
        <w:tc>
          <w:tcPr>
            <w:tcW w:w="110"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12,434,428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40" w:type="dxa"/>
            <w:tcBorders>
              <w:bottom w:val="single" w:sz="12" w:space="0" w:color="000000"/>
            </w:tcBorders>
            <w:shd w:fill="CCEEFF" w:val="clear"/>
            <w:tcMar>
              <w:bottom w:w="28" w:type="dxa"/>
            </w:tcMar>
            <w:vAlign w:val="center"/>
          </w:tcPr>
          <w:p>
            <w:pPr>
              <w:pStyle w:val="TableContents"/>
              <w:bidi w:val="0"/>
              <w:spacing w:before="0" w:after="283"/>
              <w:jc w:val="right"/>
              <w:rPr/>
            </w:pPr>
            <w:r>
              <w:rPr/>
              <w:t>13,744,547</w:t>
            </w:r>
          </w:p>
        </w:tc>
        <w:tc>
          <w:tcPr>
            <w:tcW w:w="110"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Total Liabilities, Temporary Equity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pPr>
            <w:r>
              <w:rPr/>
              <w:t>17,133,926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40" w:type="dxa"/>
            <w:tcBorders>
              <w:bottom w:val="double" w:sz="10" w:space="0" w:color="000000"/>
            </w:tcBorders>
            <w:shd w:fill="FFFFFF" w:val="clear"/>
            <w:tcMar>
              <w:bottom w:w="28" w:type="dxa"/>
            </w:tcMar>
            <w:vAlign w:val="center"/>
          </w:tcPr>
          <w:p>
            <w:pPr>
              <w:pStyle w:val="TableContents"/>
              <w:bidi w:val="0"/>
              <w:spacing w:before="0" w:after="283"/>
              <w:jc w:val="right"/>
              <w:rPr/>
            </w:pPr>
            <w:r>
              <w:rPr/>
              <w:t>18,691,370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k_002"/>
      <w:bookmarkEnd w:id="31"/>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 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4"/>
        <w:gridCol w:w="60"/>
        <w:gridCol w:w="154"/>
        <w:gridCol w:w="1169"/>
        <w:gridCol w:w="105"/>
        <w:gridCol w:w="66"/>
        <w:gridCol w:w="154"/>
        <w:gridCol w:w="969"/>
        <w:gridCol w:w="114"/>
      </w:tblGrid>
      <w:tr>
        <w:trPr/>
        <w:tc>
          <w:tcPr>
            <w:tcW w:w="74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4" w:type="dxa"/>
            <w:tcBorders/>
            <w:vAlign w:val="center"/>
          </w:tcPr>
          <w:p>
            <w:pPr>
              <w:pStyle w:val="TableContents"/>
              <w:bidi w:val="0"/>
              <w:spacing w:before="0" w:after="283"/>
              <w:jc w:val="left"/>
              <w:rPr/>
            </w:pPr>
            <w:r>
              <w:rPr/>
              <w:t> </w:t>
            </w:r>
          </w:p>
        </w:tc>
      </w:tr>
      <w:tr>
        <w:trPr/>
        <w:tc>
          <w:tcPr>
            <w:tcW w:w="74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7414"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323" w:type="dxa"/>
            <w:gridSpan w:val="2"/>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23"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(383,752</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(19,375</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(427,567</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(187,422</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(547,131</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(418,881</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pPr>
            <w:r>
              <w:rPr/>
              <w:t>Other operating income (expenses)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(56,110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FFFFFF" w:val="clear"/>
            <w:tcMar>
              <w:bottom w:w="28" w:type="dxa"/>
            </w:tcMar>
            <w:vAlign w:val="center"/>
          </w:tcPr>
          <w:p>
            <w:pPr>
              <w:pStyle w:val="TableContents"/>
              <w:bidi w:val="0"/>
              <w:spacing w:before="0" w:after="283"/>
              <w:jc w:val="right"/>
              <w:rPr/>
            </w:pPr>
            <w:r>
              <w:rPr/>
              <w:t>222,912</w:t>
            </w:r>
          </w:p>
        </w:tc>
        <w:tc>
          <w:tcPr>
            <w:tcW w:w="114"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(1,414,560</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pPr>
            <w:r>
              <w:rPr/>
              <w:t>(402,766</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283"/>
              <w:jc w:val="left"/>
              <w:rPr>
                <w:b/>
              </w:rPr>
            </w:pPr>
            <w:r>
              <w:rPr>
                <w:b/>
              </w:rPr>
              <w:t>Other income (expenses)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(56,740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(46,529</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164,000</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283"/>
              <w:jc w:val="left"/>
              <w:rPr/>
            </w:pPr>
            <w:r>
              <w:rPr/>
              <w:t>Total other income (expenses),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107,260</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FFFFFF" w:val="clear"/>
            <w:tcMar>
              <w:bottom w:w="28" w:type="dxa"/>
            </w:tcMar>
            <w:vAlign w:val="center"/>
          </w:tcPr>
          <w:p>
            <w:pPr>
              <w:pStyle w:val="TableContents"/>
              <w:bidi w:val="0"/>
              <w:spacing w:before="0" w:after="283"/>
              <w:jc w:val="right"/>
              <w:rPr/>
            </w:pPr>
            <w:r>
              <w:rPr/>
              <w:t>(46,529</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(1,307,300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double" w:sz="10" w:space="0" w:color="000000"/>
            </w:tcBorders>
            <w:shd w:fill="FFFFFF" w:val="clear"/>
            <w:tcMar>
              <w:bottom w:w="28" w:type="dxa"/>
            </w:tcMar>
            <w:vAlign w:val="center"/>
          </w:tcPr>
          <w:p>
            <w:pPr>
              <w:pStyle w:val="TableContents"/>
              <w:bidi w:val="0"/>
              <w:spacing w:before="0" w:after="283"/>
              <w:jc w:val="right"/>
              <w:rPr/>
            </w:pPr>
            <w:r>
              <w:rPr/>
              <w:t>(449,295</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18,704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(7,515</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283"/>
              <w:jc w:val="left"/>
              <w:rPr>
                <w:b/>
              </w:rPr>
            </w:pPr>
            <w:r>
              <w:rPr>
                <w:b/>
              </w:rPr>
              <w:t>Net loss attributable to Niki BioSolutions, Inc.</w:t>
            </w:r>
          </w:p>
        </w:tc>
        <w:tc>
          <w:tcPr>
            <w:tcW w:w="60"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9" w:type="dxa"/>
            <w:tcBorders>
              <w:bottom w:val="double" w:sz="10" w:space="0" w:color="000000"/>
            </w:tcBorders>
            <w:shd w:fill="CCEEFF" w:val="clear"/>
            <w:tcMar>
              <w:bottom w:w="28" w:type="dxa"/>
            </w:tcMar>
            <w:vAlign w:val="center"/>
          </w:tcPr>
          <w:p>
            <w:pPr>
              <w:pStyle w:val="TableContents"/>
              <w:bidi w:val="0"/>
              <w:spacing w:before="0" w:after="283"/>
              <w:jc w:val="right"/>
              <w:rPr/>
            </w:pPr>
            <w:r>
              <w:rPr/>
              <w:t>(1,326,004</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69" w:type="dxa"/>
            <w:tcBorders>
              <w:bottom w:val="double" w:sz="10" w:space="0" w:color="000000"/>
            </w:tcBorders>
            <w:shd w:fill="CCEEFF" w:val="clear"/>
            <w:tcMar>
              <w:bottom w:w="28" w:type="dxa"/>
            </w:tcMar>
            <w:vAlign w:val="center"/>
          </w:tcPr>
          <w:p>
            <w:pPr>
              <w:pStyle w:val="TableContents"/>
              <w:bidi w:val="0"/>
              <w:spacing w:before="0" w:after="283"/>
              <w:jc w:val="right"/>
              <w:rPr/>
            </w:pPr>
            <w:r>
              <w:rPr/>
              <w:t>(441,780</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283"/>
              <w:jc w:val="left"/>
              <w:rPr/>
            </w:pPr>
            <w:r>
              <w:rPr/>
              <w:t>Net loss per share – basic and diluted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1169" w:type="dxa"/>
            <w:tcBorders/>
            <w:shd w:fill="CCEEFF" w:val="clear"/>
            <w:vAlign w:val="center"/>
          </w:tcPr>
          <w:p>
            <w:pPr>
              <w:pStyle w:val="TableContents"/>
              <w:bidi w:val="0"/>
              <w:spacing w:before="0" w:after="283"/>
              <w:jc w:val="right"/>
              <w:rPr/>
            </w:pPr>
            <w:r>
              <w:rPr/>
              <w:t>(1.6</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(0.6</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pPr>
            <w:r>
              <w:rPr/>
              <w:t>Weighted-average shares outstanding – basic and diluted(1)</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814,375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double" w:sz="10" w:space="0" w:color="000000"/>
            </w:tcBorders>
            <w:shd w:fill="FFFFFF" w:val="clear"/>
            <w:tcMar>
              <w:bottom w:w="28" w:type="dxa"/>
            </w:tcMar>
            <w:vAlign w:val="center"/>
          </w:tcPr>
          <w:p>
            <w:pPr>
              <w:pStyle w:val="TableContents"/>
              <w:bidi w:val="0"/>
              <w:spacing w:before="0" w:after="283"/>
              <w:jc w:val="right"/>
              <w:rPr/>
            </w:pPr>
            <w:r>
              <w:rPr/>
              <w:t>712,679</w:t>
            </w:r>
          </w:p>
        </w:tc>
        <w:tc>
          <w:tcPr>
            <w:tcW w:w="114" w:type="dxa"/>
            <w:tcBorders/>
            <w:shd w:fill="FFFFFF" w:val="clear"/>
            <w:vAlign w:val="center"/>
          </w:tcPr>
          <w:p>
            <w:pPr>
              <w:pStyle w:val="TableContents"/>
              <w:bidi w:val="0"/>
              <w:spacing w:before="0" w:after="283"/>
              <w:jc w:val="left"/>
              <w:rPr/>
            </w:pPr>
            <w:r>
              <w:rPr/>
              <w:t> </w:t>
            </w:r>
          </w:p>
        </w:tc>
      </w:tr>
      <w:tr>
        <w:trPr/>
        <w:tc>
          <w:tcPr>
            <w:tcW w:w="741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1169" w:type="dxa"/>
            <w:tcBorders/>
            <w:shd w:fill="FFFFFF" w:val="clear"/>
            <w:vAlign w:val="center"/>
          </w:tcPr>
          <w:p>
            <w:pPr>
              <w:pStyle w:val="TableContents"/>
              <w:bidi w:val="0"/>
              <w:spacing w:before="0" w:after="283"/>
              <w:jc w:val="right"/>
              <w:rPr/>
            </w:pPr>
            <w:r>
              <w:rPr/>
              <w:t>(1,307,300</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w:t>
            </w:r>
          </w:p>
        </w:tc>
        <w:tc>
          <w:tcPr>
            <w:tcW w:w="969" w:type="dxa"/>
            <w:tcBorders/>
            <w:shd w:fill="FFFFFF" w:val="clear"/>
            <w:vAlign w:val="center"/>
          </w:tcPr>
          <w:p>
            <w:pPr>
              <w:pStyle w:val="TableContents"/>
              <w:bidi w:val="0"/>
              <w:spacing w:before="0" w:after="283"/>
              <w:jc w:val="right"/>
              <w:rPr/>
            </w:pPr>
            <w:r>
              <w:rPr/>
              <w:t>(449,295</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b/>
              </w:rPr>
            </w:pPr>
            <w:r>
              <w:rPr>
                <w:b/>
              </w:rPr>
              <w:t>Other comprehensive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7414"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FFFFFF" w:val="clear"/>
            <w:tcMar>
              <w:bottom w:w="28" w:type="dxa"/>
            </w:tcMar>
            <w:vAlign w:val="center"/>
          </w:tcPr>
          <w:p>
            <w:pPr>
              <w:pStyle w:val="TableContents"/>
              <w:bidi w:val="0"/>
              <w:spacing w:before="0" w:after="283"/>
              <w:jc w:val="right"/>
              <w:rPr/>
            </w:pPr>
            <w:r>
              <w:rPr/>
              <w:t>(2,819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FFFFFF" w:val="clear"/>
            <w:tcMar>
              <w:bottom w:w="28" w:type="dxa"/>
            </w:tcMar>
            <w:vAlign w:val="center"/>
          </w:tcPr>
          <w:p>
            <w:pPr>
              <w:pStyle w:val="TableContents"/>
              <w:bidi w:val="0"/>
              <w:spacing w:before="0" w:after="283"/>
              <w:jc w:val="right"/>
              <w:rPr/>
            </w:pPr>
            <w:r>
              <w:rPr/>
              <w:t>(258,322</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105"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pPr>
            <w:r>
              <w:rPr/>
              <w:t>(258,322</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b/>
              </w:rPr>
            </w:pPr>
            <w:r>
              <w:rPr>
                <w:b/>
              </w:rPr>
              <w:t>Comprehensive loss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69" w:type="dxa"/>
            <w:tcBorders/>
            <w:shd w:fill="FFFFFF" w:val="clear"/>
            <w:vAlign w:val="center"/>
          </w:tcPr>
          <w:p>
            <w:pPr>
              <w:pStyle w:val="TableContents"/>
              <w:bidi w:val="0"/>
              <w:spacing w:before="0" w:after="283"/>
              <w:jc w:val="right"/>
              <w:rPr/>
            </w:pPr>
            <w:r>
              <w:rPr/>
              <w:t>(1,310,119</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(707,617</w:t>
            </w:r>
          </w:p>
        </w:tc>
        <w:tc>
          <w:tcPr>
            <w:tcW w:w="114" w:type="dxa"/>
            <w:tcBorders/>
            <w:shd w:fill="FFFFFF" w:val="clear"/>
            <w:vAlign w:val="center"/>
          </w:tcPr>
          <w:p>
            <w:pPr>
              <w:pStyle w:val="TableContents"/>
              <w:bidi w:val="0"/>
              <w:spacing w:before="0" w:after="283"/>
              <w:jc w:val="left"/>
              <w:rPr/>
            </w:pPr>
            <w:r>
              <w:rPr/>
              <w:t>)</w:t>
            </w:r>
          </w:p>
        </w:tc>
      </w:tr>
      <w:tr>
        <w:trPr/>
        <w:tc>
          <w:tcPr>
            <w:tcW w:w="7414" w:type="dxa"/>
            <w:tcBorders/>
            <w:shd w:fill="CCEEFF" w:val="clear"/>
            <w:vAlign w:val="center"/>
          </w:tcPr>
          <w:p>
            <w:pPr>
              <w:pStyle w:val="TableContents"/>
              <w:bidi w:val="0"/>
              <w:spacing w:before="0" w:after="283"/>
              <w:jc w:val="left"/>
              <w:rPr/>
            </w:pPr>
            <w:r>
              <w:rPr/>
              <w:t>Less: comprehensive loss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9" w:type="dxa"/>
            <w:tcBorders>
              <w:bottom w:val="single" w:sz="12" w:space="0" w:color="000000"/>
            </w:tcBorders>
            <w:shd w:fill="CCEEFF" w:val="clear"/>
            <w:tcMar>
              <w:bottom w:w="28" w:type="dxa"/>
            </w:tcMar>
            <w:vAlign w:val="center"/>
          </w:tcPr>
          <w:p>
            <w:pPr>
              <w:pStyle w:val="TableContents"/>
              <w:bidi w:val="0"/>
              <w:spacing w:before="0" w:after="283"/>
              <w:jc w:val="right"/>
              <w:rPr/>
            </w:pPr>
            <w:r>
              <w:rPr/>
              <w:t>18,704</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12" w:space="0" w:color="000000"/>
            </w:tcBorders>
            <w:shd w:fill="CCEEFF" w:val="clear"/>
            <w:tcMar>
              <w:bottom w:w="28" w:type="dxa"/>
            </w:tcMar>
            <w:vAlign w:val="center"/>
          </w:tcPr>
          <w:p>
            <w:pPr>
              <w:pStyle w:val="TableContents"/>
              <w:bidi w:val="0"/>
              <w:spacing w:before="0" w:after="283"/>
              <w:jc w:val="right"/>
              <w:rPr/>
            </w:pPr>
            <w:r>
              <w:rPr/>
              <w:t>(7,515</w:t>
            </w:r>
          </w:p>
        </w:tc>
        <w:tc>
          <w:tcPr>
            <w:tcW w:w="114" w:type="dxa"/>
            <w:tcBorders/>
            <w:shd w:fill="CCEEFF" w:val="clear"/>
            <w:vAlign w:val="center"/>
          </w:tcPr>
          <w:p>
            <w:pPr>
              <w:pStyle w:val="TableContents"/>
              <w:bidi w:val="0"/>
              <w:spacing w:before="0" w:after="283"/>
              <w:jc w:val="left"/>
              <w:rPr/>
            </w:pPr>
            <w:r>
              <w:rPr/>
              <w:t>)</w:t>
            </w:r>
          </w:p>
        </w:tc>
      </w:tr>
      <w:tr>
        <w:trPr/>
        <w:tc>
          <w:tcPr>
            <w:tcW w:w="7414" w:type="dxa"/>
            <w:tcBorders/>
            <w:shd w:fill="FFFFFF" w:val="clear"/>
            <w:vAlign w:val="center"/>
          </w:tcPr>
          <w:p>
            <w:pPr>
              <w:pStyle w:val="TableContents"/>
              <w:bidi w:val="0"/>
              <w:spacing w:before="0" w:after="283"/>
              <w:jc w:val="left"/>
              <w:rPr>
                <w:b/>
              </w:rPr>
            </w:pPr>
            <w:r>
              <w:rPr>
                <w:b/>
              </w:rPr>
              <w:t>Comprehensive loss attributable to the shareholders of Niki BioSolutions, Inc.</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9" w:type="dxa"/>
            <w:tcBorders>
              <w:bottom w:val="double" w:sz="10" w:space="0" w:color="000000"/>
            </w:tcBorders>
            <w:shd w:fill="FFFFFF" w:val="clear"/>
            <w:tcMar>
              <w:bottom w:w="28" w:type="dxa"/>
            </w:tcMar>
            <w:vAlign w:val="center"/>
          </w:tcPr>
          <w:p>
            <w:pPr>
              <w:pStyle w:val="TableContents"/>
              <w:bidi w:val="0"/>
              <w:spacing w:before="0" w:after="283"/>
              <w:jc w:val="right"/>
              <w:rPr/>
            </w:pPr>
            <w:r>
              <w:rPr/>
              <w:t>(1,328,823</w:t>
            </w:r>
          </w:p>
        </w:tc>
        <w:tc>
          <w:tcPr>
            <w:tcW w:w="105"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9" w:type="dxa"/>
            <w:tcBorders>
              <w:bottom w:val="double" w:sz="10" w:space="0" w:color="000000"/>
            </w:tcBorders>
            <w:shd w:fill="FFFFFF" w:val="clear"/>
            <w:tcMar>
              <w:bottom w:w="28" w:type="dxa"/>
            </w:tcMar>
            <w:vAlign w:val="center"/>
          </w:tcPr>
          <w:p>
            <w:pPr>
              <w:pStyle w:val="TableContents"/>
              <w:bidi w:val="0"/>
              <w:spacing w:before="0" w:after="283"/>
              <w:jc w:val="right"/>
              <w:rPr/>
            </w:pPr>
            <w:r>
              <w:rPr/>
              <w:t>(700,102</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k_003"/>
      <w:bookmarkEnd w:id="32"/>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CHANGES IN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3280" w:type="dxa"/>
        <w:jc w:val="left"/>
        <w:tblInd w:w="0" w:type="dxa"/>
        <w:tblLayout w:type="fixed"/>
        <w:tblCellMar>
          <w:top w:w="0" w:type="dxa"/>
          <w:left w:w="0" w:type="dxa"/>
          <w:bottom w:w="0" w:type="dxa"/>
          <w:right w:w="0" w:type="dxa"/>
        </w:tblCellMar>
      </w:tblPr>
      <w:tblGrid>
        <w:gridCol w:w="2060"/>
        <w:gridCol w:w="60"/>
        <w:gridCol w:w="60"/>
        <w:gridCol w:w="800"/>
        <w:gridCol w:w="60"/>
        <w:gridCol w:w="60"/>
        <w:gridCol w:w="301"/>
        <w:gridCol w:w="559"/>
        <w:gridCol w:w="60"/>
        <w:gridCol w:w="60"/>
        <w:gridCol w:w="60"/>
        <w:gridCol w:w="800"/>
        <w:gridCol w:w="60"/>
        <w:gridCol w:w="60"/>
        <w:gridCol w:w="301"/>
        <w:gridCol w:w="559"/>
        <w:gridCol w:w="60"/>
        <w:gridCol w:w="60"/>
        <w:gridCol w:w="140"/>
        <w:gridCol w:w="1100"/>
        <w:gridCol w:w="60"/>
        <w:gridCol w:w="60"/>
        <w:gridCol w:w="145"/>
        <w:gridCol w:w="1225"/>
        <w:gridCol w:w="95"/>
        <w:gridCol w:w="60"/>
        <w:gridCol w:w="211"/>
        <w:gridCol w:w="1324"/>
        <w:gridCol w:w="95"/>
        <w:gridCol w:w="60"/>
        <w:gridCol w:w="140"/>
        <w:gridCol w:w="1055"/>
        <w:gridCol w:w="95"/>
        <w:gridCol w:w="60"/>
        <w:gridCol w:w="140"/>
        <w:gridCol w:w="1100"/>
        <w:gridCol w:w="75"/>
      </w:tblGrid>
      <w:tr>
        <w:trPr/>
        <w:tc>
          <w:tcPr>
            <w:tcW w:w="20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Class B </w:t>
              <w:b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 xml:space="preserve">Additional </w:t>
              <w:br/>
              <w:t xml:space="preserve">Paid-in </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 xml:space="preserve">Accumulated </w:t>
              <w:b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b/>
              </w:rPr>
            </w:pPr>
            <w:r>
              <w:rPr>
                <w:b/>
              </w:rPr>
              <w:t xml:space="preserve">Accumulated </w:t>
              <w:br/>
              <w:t xml:space="preserve">other </w:t>
              <w:br/>
              <w:t xml:space="preserve">comprehensive </w:t>
              <w:b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b/>
              </w:rPr>
            </w:pPr>
            <w:r>
              <w:rPr>
                <w:b/>
              </w:rPr>
              <w:t>Non-</w:t>
              <w:br/>
              <w:t xml:space="preserve">controlling </w:t>
              <w:br/>
              <w:t>interests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2060" w:type="dxa"/>
            <w:tcBorders/>
            <w:shd w:fill="CCEEFF" w:val="clear"/>
            <w:vAlign w:val="center"/>
          </w:tcPr>
          <w:p>
            <w:pPr>
              <w:pStyle w:val="TableContents"/>
              <w:bidi w:val="0"/>
              <w:spacing w:before="0" w:after="283"/>
              <w:jc w:val="left"/>
              <w:rPr>
                <w:b/>
              </w:rPr>
            </w:pPr>
            <w:r>
              <w:rPr>
                <w:b/>
              </w:rPr>
              <w:t>Balance, January 1, 2026(1)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right"/>
              <w:rPr>
                <w:b/>
              </w:rPr>
            </w:pPr>
            <w:r>
              <w:rPr>
                <w:b/>
              </w:rPr>
              <w:t>634,682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179,693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b/>
              </w:rPr>
            </w:pPr>
            <w:r>
              <w:rPr>
                <w:b/>
              </w:rPr>
              <w:t>$</w:t>
            </w:r>
          </w:p>
        </w:tc>
        <w:tc>
          <w:tcPr>
            <w:tcW w:w="559" w:type="dxa"/>
            <w:tcBorders/>
            <w:shd w:fill="CCEEFF" w:val="clear"/>
            <w:vAlign w:val="center"/>
          </w:tcPr>
          <w:p>
            <w:pPr>
              <w:pStyle w:val="TableContents"/>
              <w:bidi w:val="0"/>
              <w:spacing w:before="0" w:after="283"/>
              <w:jc w:val="right"/>
              <w:rPr>
                <w:b/>
              </w:rPr>
            </w:pPr>
            <w:r>
              <w:rPr>
                <w:b/>
              </w:rPr>
              <w:t>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97,000,188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(73,792,798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b/>
              </w:rPr>
            </w:pPr>
            <w:r>
              <w:rPr>
                <w:b/>
              </w:rPr>
              <w:t>$</w:t>
            </w:r>
          </w:p>
        </w:tc>
        <w:tc>
          <w:tcPr>
            <w:tcW w:w="1324" w:type="dxa"/>
            <w:tcBorders/>
            <w:shd w:fill="CCEEFF" w:val="clear"/>
            <w:vAlign w:val="center"/>
          </w:tcPr>
          <w:p>
            <w:pPr>
              <w:pStyle w:val="TableContents"/>
              <w:bidi w:val="0"/>
              <w:spacing w:before="0" w:after="283"/>
              <w:jc w:val="right"/>
              <w:rPr>
                <w:b/>
              </w:rPr>
            </w:pPr>
            <w:r>
              <w:rPr>
                <w:b/>
              </w:rPr>
              <w:t>(92,310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(9,370,613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13,744,547</w:t>
            </w:r>
          </w:p>
        </w:tc>
        <w:tc>
          <w:tcPr>
            <w:tcW w:w="75"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(1,326,004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(1,307,300</w:t>
            </w:r>
          </w:p>
        </w:tc>
        <w:tc>
          <w:tcPr>
            <w:tcW w:w="75" w:type="dxa"/>
            <w:tcBorders/>
            <w:shd w:fill="FFFFFF" w:val="clear"/>
            <w:vAlign w:val="center"/>
          </w:tcPr>
          <w:p>
            <w:pPr>
              <w:pStyle w:val="TableContents"/>
              <w:bidi w:val="0"/>
              <w:spacing w:before="0" w:after="283"/>
              <w:ind w:left="0" w:right="0" w:hanging="180"/>
              <w:jc w:val="left"/>
              <w:rPr>
                <w:b/>
              </w:rPr>
            </w:pPr>
            <w:r>
              <w:rPr>
                <w:b/>
              </w:rPr>
              <w:t>)</w:t>
            </w:r>
          </w:p>
        </w:tc>
      </w:tr>
      <w:tr>
        <w:trPr/>
        <w:tc>
          <w:tcPr>
            <w:tcW w:w="2060" w:type="dxa"/>
            <w:tcBorders/>
            <w:shd w:fill="CCEEFF" w:val="clear"/>
            <w:vAlign w:val="center"/>
          </w:tcPr>
          <w:p>
            <w:pPr>
              <w:pStyle w:val="TableContents"/>
              <w:bidi w:val="0"/>
              <w:spacing w:before="0" w:after="283"/>
              <w:jc w:val="left"/>
              <w:rPr/>
            </w:pPr>
            <w:r>
              <w:rPr/>
              <w:t>Exchange difference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(2,819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(2,819</w:t>
            </w:r>
          </w:p>
        </w:tc>
        <w:tc>
          <w:tcPr>
            <w:tcW w:w="75" w:type="dxa"/>
            <w:tcBorders/>
            <w:shd w:fill="CCEEFF" w:val="clear"/>
            <w:vAlign w:val="center"/>
          </w:tcPr>
          <w:p>
            <w:pPr>
              <w:pStyle w:val="TableContents"/>
              <w:bidi w:val="0"/>
              <w:spacing w:before="0" w:after="283"/>
              <w:ind w:left="0" w:right="0" w:hanging="180"/>
              <w:jc w:val="left"/>
              <w:rPr>
                <w:b/>
              </w:rPr>
            </w:pPr>
            <w:r>
              <w:rPr>
                <w:b/>
              </w:rPr>
              <w:t>)</w:t>
            </w:r>
          </w:p>
        </w:tc>
      </w:tr>
      <w:tr>
        <w:trPr/>
        <w:tc>
          <w:tcPr>
            <w:tcW w:w="2060" w:type="dxa"/>
            <w:tcBorders/>
            <w:shd w:fill="FFFFFF" w:val="clear"/>
            <w:vAlign w:val="center"/>
          </w:tcPr>
          <w:p>
            <w:pPr>
              <w:pStyle w:val="TableContents"/>
              <w:bidi w:val="0"/>
              <w:spacing w:before="0" w:after="283"/>
              <w:jc w:val="left"/>
              <w:rPr>
                <w:b/>
              </w:rPr>
            </w:pPr>
            <w:r>
              <w:rPr>
                <w:b/>
              </w:rPr>
              <w:t>Balance, June 30, 2026(1)</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634,682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97,000,188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(75,118,802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(95,129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(9,351,909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12,434,428</w:t>
            </w:r>
          </w:p>
        </w:tc>
        <w:tc>
          <w:tcPr>
            <w:tcW w:w="7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b/>
              </w:rPr>
            </w:pPr>
            <w:r>
              <w:rPr>
                <w:b/>
              </w:rPr>
              <w:t>Balance, January 1, 2025(1)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381,182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179,693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b/>
              </w:rPr>
            </w:pPr>
            <w:r>
              <w:rPr>
                <w:b/>
              </w:rPr>
              <w:t>$</w:t>
            </w:r>
          </w:p>
        </w:tc>
        <w:tc>
          <w:tcPr>
            <w:tcW w:w="559" w:type="dxa"/>
            <w:tcBorders/>
            <w:shd w:fill="FFFFFF" w:val="clear"/>
            <w:vAlign w:val="center"/>
          </w:tcPr>
          <w:p>
            <w:pPr>
              <w:pStyle w:val="TableContents"/>
              <w:bidi w:val="0"/>
              <w:spacing w:before="0" w:after="283"/>
              <w:jc w:val="right"/>
              <w:rPr>
                <w:b/>
              </w:rPr>
            </w:pPr>
            <w:r>
              <w:rPr>
                <w:b/>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93,474,825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b/>
              </w:rPr>
            </w:pPr>
            <w:r>
              <w:rPr>
                <w:b/>
              </w:rPr>
              <w:t>$</w:t>
            </w:r>
          </w:p>
        </w:tc>
        <w:tc>
          <w:tcPr>
            <w:tcW w:w="1225" w:type="dxa"/>
            <w:tcBorders/>
            <w:shd w:fill="FFFFFF" w:val="clear"/>
            <w:vAlign w:val="center"/>
          </w:tcPr>
          <w:p>
            <w:pPr>
              <w:pStyle w:val="TableContents"/>
              <w:bidi w:val="0"/>
              <w:spacing w:before="0" w:after="283"/>
              <w:jc w:val="right"/>
              <w:rPr>
                <w:b/>
              </w:rPr>
            </w:pPr>
            <w:r>
              <w:rPr>
                <w:b/>
              </w:rPr>
              <w:t>(72,429,528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b/>
              </w:rPr>
            </w:pPr>
            <w:r>
              <w:rPr>
                <w:b/>
              </w:rPr>
              <w:t>$</w:t>
            </w:r>
          </w:p>
        </w:tc>
        <w:tc>
          <w:tcPr>
            <w:tcW w:w="1324" w:type="dxa"/>
            <w:tcBorders/>
            <w:shd w:fill="FFFFFF" w:val="clear"/>
            <w:vAlign w:val="center"/>
          </w:tcPr>
          <w:p>
            <w:pPr>
              <w:pStyle w:val="TableContents"/>
              <w:bidi w:val="0"/>
              <w:spacing w:before="0" w:after="283"/>
              <w:jc w:val="right"/>
              <w:rPr>
                <w:b/>
              </w:rPr>
            </w:pPr>
            <w:r>
              <w:rPr>
                <w:b/>
              </w:rPr>
              <w:t>89,162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b/>
              </w:rPr>
            </w:pPr>
            <w:r>
              <w:rPr>
                <w:b/>
              </w:rPr>
              <w:t>(9,357,453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100" w:type="dxa"/>
            <w:tcBorders/>
            <w:shd w:fill="FFFFFF" w:val="clear"/>
            <w:vAlign w:val="center"/>
          </w:tcPr>
          <w:p>
            <w:pPr>
              <w:pStyle w:val="TableContents"/>
              <w:bidi w:val="0"/>
              <w:spacing w:before="0" w:after="283"/>
              <w:jc w:val="right"/>
              <w:rPr>
                <w:b/>
              </w:rPr>
            </w:pPr>
            <w:r>
              <w:rPr>
                <w:b/>
              </w:rPr>
              <w:t>11,777,061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60" w:type="dxa"/>
            <w:tcBorders/>
            <w:shd w:fill="CCEEFF" w:val="clear"/>
            <w:vAlign w:val="center"/>
          </w:tcPr>
          <w:p>
            <w:pPr>
              <w:pStyle w:val="TableContents"/>
              <w:bidi w:val="0"/>
              <w:spacing w:before="0" w:after="283"/>
              <w:jc w:val="left"/>
              <w:rPr/>
            </w:pPr>
            <w:r>
              <w:rPr/>
              <w:t>Placing of Class A Ordinary Shares(1)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2,699,185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2,699,200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6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5" w:type="dxa"/>
            <w:tcBorders/>
            <w:shd w:fill="FFFFFF" w:val="clear"/>
            <w:vAlign w:val="center"/>
          </w:tcPr>
          <w:p>
            <w:pPr>
              <w:pStyle w:val="TableContents"/>
              <w:bidi w:val="0"/>
              <w:spacing w:before="0" w:after="283"/>
              <w:jc w:val="right"/>
              <w:rPr/>
            </w:pPr>
            <w:r>
              <w:rPr/>
              <w:t>(441,780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b/>
              </w:rPr>
            </w:pPr>
            <w:r>
              <w:rPr>
                <w:b/>
              </w:rPr>
              <w:t>(449,295</w:t>
            </w:r>
          </w:p>
        </w:tc>
        <w:tc>
          <w:tcPr>
            <w:tcW w:w="75" w:type="dxa"/>
            <w:tcBorders/>
            <w:shd w:fill="FFFFFF" w:val="clear"/>
            <w:vAlign w:val="center"/>
          </w:tcPr>
          <w:p>
            <w:pPr>
              <w:pStyle w:val="TableContents"/>
              <w:bidi w:val="0"/>
              <w:spacing w:before="0" w:after="283"/>
              <w:ind w:left="0" w:right="0" w:hanging="200"/>
              <w:jc w:val="left"/>
              <w:rPr>
                <w:b/>
              </w:rPr>
            </w:pPr>
            <w:r>
              <w:rPr>
                <w:b/>
              </w:rPr>
              <w:t>)</w:t>
            </w:r>
          </w:p>
        </w:tc>
      </w:tr>
      <w:tr>
        <w:trPr/>
        <w:tc>
          <w:tcPr>
            <w:tcW w:w="2060" w:type="dxa"/>
            <w:tcBorders/>
            <w:shd w:fill="CCEEFF" w:val="clear"/>
            <w:vAlign w:val="center"/>
          </w:tcPr>
          <w:p>
            <w:pPr>
              <w:pStyle w:val="TableContents"/>
              <w:bidi w:val="0"/>
              <w:spacing w:before="0" w:after="283"/>
              <w:jc w:val="left"/>
              <w:rPr/>
            </w:pPr>
            <w:r>
              <w:rPr/>
              <w:t>Exchange difference on translation of foreign operations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12" w:space="0" w:color="000000"/>
            </w:tcBorders>
            <w:shd w:fill="CCEEFF" w:val="clear"/>
            <w:tcMar>
              <w:bottom w:w="28" w:type="dxa"/>
            </w:tcMar>
            <w:vAlign w:val="center"/>
          </w:tcPr>
          <w:p>
            <w:pPr>
              <w:pStyle w:val="TableContents"/>
              <w:bidi w:val="0"/>
              <w:spacing w:before="0" w:after="283"/>
              <w:jc w:val="right"/>
              <w:rPr/>
            </w:pPr>
            <w:r>
              <w:rPr/>
              <w:t>(258,322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(258,322</w:t>
            </w:r>
          </w:p>
        </w:tc>
        <w:tc>
          <w:tcPr>
            <w:tcW w:w="75" w:type="dxa"/>
            <w:tcBorders/>
            <w:shd w:fill="CCEEFF" w:val="clear"/>
            <w:vAlign w:val="center"/>
          </w:tcPr>
          <w:p>
            <w:pPr>
              <w:pStyle w:val="TableContents"/>
              <w:bidi w:val="0"/>
              <w:spacing w:before="0" w:after="283"/>
              <w:ind w:left="0" w:right="0" w:hanging="200"/>
              <w:jc w:val="left"/>
              <w:rPr>
                <w:b/>
              </w:rPr>
            </w:pPr>
            <w:r>
              <w:rPr>
                <w:b/>
              </w:rPr>
              <w:t>)</w:t>
            </w:r>
          </w:p>
        </w:tc>
      </w:tr>
      <w:tr>
        <w:trPr/>
        <w:tc>
          <w:tcPr>
            <w:tcW w:w="2060" w:type="dxa"/>
            <w:tcBorders/>
            <w:shd w:fill="FFFFFF" w:val="clear"/>
            <w:vAlign w:val="center"/>
          </w:tcPr>
          <w:p>
            <w:pPr>
              <w:pStyle w:val="TableContents"/>
              <w:bidi w:val="0"/>
              <w:spacing w:before="0" w:after="283"/>
              <w:jc w:val="left"/>
              <w:rPr>
                <w:b/>
              </w:rPr>
            </w:pPr>
            <w:r>
              <w:rPr>
                <w:b/>
              </w:rPr>
              <w:t>Balance, June 30, 2025(1)</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534,682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179,693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55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96,174,010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(72,871,308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324"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(169,160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(9,364,968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13,768,644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k_004"/>
      <w:bookmarkEnd w:id="33"/>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tbl>
      <w:tblPr>
        <w:tblW w:w="7677" w:type="dxa"/>
        <w:jc w:val="left"/>
        <w:tblInd w:w="0" w:type="dxa"/>
        <w:tblLayout w:type="fixed"/>
        <w:tblCellMar>
          <w:top w:w="0" w:type="dxa"/>
          <w:left w:w="0" w:type="dxa"/>
          <w:bottom w:w="0" w:type="dxa"/>
          <w:right w:w="0" w:type="dxa"/>
        </w:tblCellMar>
      </w:tblPr>
      <w:tblGrid>
        <w:gridCol w:w="4925"/>
        <w:gridCol w:w="60"/>
        <w:gridCol w:w="146"/>
        <w:gridCol w:w="1104"/>
        <w:gridCol w:w="99"/>
        <w:gridCol w:w="62"/>
        <w:gridCol w:w="146"/>
        <w:gridCol w:w="1025"/>
        <w:gridCol w:w="110"/>
      </w:tblGrid>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8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71"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(1,553,720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(816,544</w:t>
            </w:r>
          </w:p>
        </w:tc>
        <w:tc>
          <w:tcPr>
            <w:tcW w:w="110" w:type="dxa"/>
            <w:tcBorders/>
            <w:shd w:fill="CCEEFF" w:val="clear"/>
            <w:vAlign w:val="center"/>
          </w:tcPr>
          <w:p>
            <w:pPr>
              <w:pStyle w:val="TableContents"/>
              <w:bidi w:val="0"/>
              <w:spacing w:before="0" w:after="283"/>
              <w:jc w:val="left"/>
              <w:rPr/>
            </w:pPr>
            <w:r>
              <w:rPr/>
              <w:t>)</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(65,000</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Proceeds from issuance of Class A Ordinary Shares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4" w:type="dxa"/>
            <w:tcBorders/>
            <w:shd w:fill="CCEEFF" w:val="cle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3,070,000</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Payment of offering cost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(370,800</w:t>
            </w:r>
          </w:p>
        </w:tc>
        <w:tc>
          <w:tcPr>
            <w:tcW w:w="110"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2,699,200</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Net decrease in cash</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CCEEFF" w:val="clear"/>
            <w:tcMar>
              <w:bottom w:w="28" w:type="dxa"/>
            </w:tcMar>
            <w:vAlign w:val="center"/>
          </w:tcPr>
          <w:p>
            <w:pPr>
              <w:pStyle w:val="TableContents"/>
              <w:bidi w:val="0"/>
              <w:spacing w:before="0" w:after="283"/>
              <w:jc w:val="right"/>
              <w:rPr/>
            </w:pPr>
            <w:r>
              <w:rPr/>
              <w:t>(1,618,720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CCEEFF" w:val="clear"/>
            <w:tcMar>
              <w:bottom w:w="28" w:type="dxa"/>
            </w:tcMar>
            <w:vAlign w:val="center"/>
          </w:tcPr>
          <w:p>
            <w:pPr>
              <w:pStyle w:val="TableContents"/>
              <w:bidi w:val="0"/>
              <w:spacing w:before="0" w:after="283"/>
              <w:jc w:val="right"/>
              <w:rPr/>
            </w:pPr>
            <w:r>
              <w:rPr/>
              <w:t>1,882,656</w:t>
            </w:r>
          </w:p>
        </w:tc>
        <w:tc>
          <w:tcPr>
            <w:tcW w:w="11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Cash - Beginning of period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12" w:space="0" w:color="000000"/>
            </w:tcBorders>
            <w:shd w:fill="FFFFFF" w:val="clear"/>
            <w:tcMar>
              <w:bottom w:w="28" w:type="dxa"/>
            </w:tcMar>
            <w:vAlign w:val="center"/>
          </w:tcPr>
          <w:p>
            <w:pPr>
              <w:pStyle w:val="TableContents"/>
              <w:bidi w:val="0"/>
              <w:spacing w:before="0" w:after="283"/>
              <w:jc w:val="right"/>
              <w:rPr/>
            </w:pPr>
            <w:r>
              <w:rPr/>
              <w:t>3,452,891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874,238</w:t>
            </w:r>
          </w:p>
        </w:tc>
        <w:tc>
          <w:tcPr>
            <w:tcW w:w="110"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Cash - End of period</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4" w:type="dxa"/>
            <w:tcBorders>
              <w:bottom w:val="double" w:sz="10" w:space="0" w:color="000000"/>
            </w:tcBorders>
            <w:shd w:fill="CCEEFF" w:val="clear"/>
            <w:tcMar>
              <w:bottom w:w="28" w:type="dxa"/>
            </w:tcMar>
            <w:vAlign w:val="center"/>
          </w:tcPr>
          <w:p>
            <w:pPr>
              <w:pStyle w:val="TableContents"/>
              <w:bidi w:val="0"/>
              <w:spacing w:before="0" w:after="283"/>
              <w:jc w:val="right"/>
              <w:rPr/>
            </w:pPr>
            <w:r>
              <w:rPr/>
              <w:t>1,834,171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2,756,894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unaudited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k_005"/>
      <w:bookmarkEnd w:id="34"/>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financial statements of Niki BioSolutions, Inc. (the “Company” or “Niki”) and its subsidiaries of which the Company is the primary beneficiary (collectively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formerly known as Aptorum Group Limited (the “Aptorum”), APTUS Holdings Limited and STRIKER ASIA OPPORTUNITIES FUND CORPORATION, is a company incorporated on September 13, 2010 under the laws of the Cayman Islands with limited liability, and subsequently domesticated to U.S. on July 20,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researches and develops life science and biopharmaceutical products within its wholly-owned subsidiary, Aptorum Therapeutics Limited, formerly known as APTUS Therapeutics Limited (“Aptorum Therapeutics”) and its indirect subsidiary companies (collectively, “Aptorum Therapeutics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Aptorum consummated its previously announced merger (the “Closing”) pursuant to that certain Agreement and Plan of Merger on July 14, 2025, (the “Merger Agreement”), between Aptorum and DiamiR Biosciences Corp., a Delaware corporation, pursuant to which, among other matters, Aptorum was to form a direct, wholly owned subsidiary in the state of Delaware (“Merger Sub”).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and filed Niki’s Certificate of Incorporation with the Delaware Secretary of State, which replaced Aptorum’s memorandum and articles in effect as of such time. In connection with the Merger, the Company’s common stock, par value $0.0001 per share (the “Niki Common Stock”), trades on Nasdaq under the symbol “NIKI”. In connection with the name change, the CUSIP number for the Niki Common Stock is 653942 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each then issued and outstanding Class A ordinary share of Aptorum converted automatically, on a one-for-one basis, into a share of Niki’s common stock, par value $0.0001 per share, and each then issued and outstanding Class B ordinary share of Aptorum converted automatically into a share of Niki Common Stock and a share of Niki’s non-voting and non-convertible Series A preferred stock (the “Series A Preferred Stock”). Accordingly, a total of 814,375 shares of Niki Common Stock and 179,693 shares of Series A Preferred Stock, respectively, were issued to Aptorum’s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each then-outstanding share of DiamiR’s common stock were converted into a number of shares of Niki Common Stock equal to the Conversion Ratio, which was the number resulting from dividing (i) 0.4102, which is the quotient of dividing the total number of Aptorum ordinary shares on a fully diluted basis by the total number of shares of DiamiR common stock on a fully diluted basis, by (ii) three-seventh (3/7). Accordingly, a total of 1,979,216 shares of Niki Common Stock were issued to current stockholders of DiamiR; no shares of Series A Preferred Stock was issued to any current DiamiR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Limited, a wholly owned subsidiary of Aptorum (“Aptorum Therapeutics”), entered into a management services agreement (as amended, the “Management Services Agreement”), which terminated as of the closing of the transaction contemplated by the Merger Agreement. In addition, concurrently with the execution of the Merger Agreement, DiamiR, DiamiR, LLC, a wholly owned subsidiary of DiamiR, Aptorum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July 31, 2026, and therefore it terminated as of the Closing. The parties also entered into a Voting and Support Agreement, as well as a Stockholder Agreement (collectively with the Management Services Agreement and Licensing Agreement, the “Transaction Documents”), pursuant to which certain parties agreed to vote in favor of certain corporate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reported a net loss of $1,307,300, negative working capital of $2,475,418 and net operating cash outflow of $1,553,720 for the six months ended June 30, 2026. In addition, the Group had an accumulated deficit of $75,118,802 as of June 30, 2026. The Group’s operating results for future periods are subject to numerous uncertainties and it is uncertain if the Group will be able to reduce or eliminate its net losses for the foreseeable future. Following the completion of the merger with DiamiR in July 2026, management’s going concern assessment also considered DiamiR’s financial condition and cash flow forecast as part of the Group’s liquidity analysis for the twelve months following the issuance of these unaudited condensed consolidated financial statements. DiamiR has a limited operating history, has incurred recurring net losses and negative operating cash flows, and its standalone financial statements indicate that its existing capital is not expected to be sufficient to fund its operations for the next twelve months without additional financing.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bidi w:val="0"/>
        <w:spacing w:before="0" w:after="0"/>
        <w:ind w:left="0" w:right="0" w:hanging="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other available sources of financing from banks and other financial institutions or private lender; and</w:t>
            </w:r>
          </w:p>
        </w:tc>
      </w:tr>
    </w:tbl>
    <w:p>
      <w:pPr>
        <w:pStyle w:val="TextBody"/>
        <w:bidi w:val="0"/>
        <w:spacing w:before="0" w:after="0"/>
        <w:ind w:left="0" w:right="0" w:hanging="0"/>
        <w:jc w:val="left"/>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equity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UNAUDITED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of the Group are presented on the accrual basis of accounting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Unaudited interim results are not necessarily indicative of the results for the full fiscal year. The accompanying unaudited condensed consolidated financial statements should be read in conjunction with audited consolidated financial statements and accompanying notes in the Company’s Annual Report on Form 20-F for the fiscal year ended December 31, 2025. The unaudited condensed consolidated financial statements include the accounts of the Company, its direct and indirect wholly and majority owned subsidiaries. In accordance with the provisions of Accounting Standards Codification (“ASC”) 810, Consolidation, the Group also consolidate any variable interest entity (“VIE”) of which the Group is the primary beneficiary. The Group do not consolidate a VIE in which the Group has a majority ownership interest when the Group is not considered the primary beneficiary. The Group has determined that the Group is not the primary beneficiary of one of the VIE (see Note 11, Variable Interest Entity). The Company evaluates its relationships with the VIE on an ongoing basis to determine whether it becomes the primary beneficiary. All material intercompany balances and transactions have been eliminated in preparation of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condensed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prepares a qualitative assessment, and if necessary, a quantitative assessment, in determining whether long-lived assets may be impaired. The factors considered in the qualitative assessment include macroeconomic conditions, industry and market conditions and overall financial performance of the Group, among other factors. Under a quantitative assessment,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unaudited condensed consolidated balance sheets as those investments do not have stated contractual 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Non-marketable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method investment – Fair value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(expenses) income, net in the unaudited condensed consolidated statement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fair value hierarchy prioritizes the inputs utilized in measuring fair value as follows:</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applies to assets or liabilities for which there are quoted prices in active markets for identical assets or liabilities.</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applies to assets or liabilities for which there are unobservable inputs to the valuation methodology that are significant to the measurement of the fair value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Measured at Fair Value on a Recurring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represent the fair value hierarchy of the Group’s financial assets and liabilities measured at fair value on a recurring basis as of June 30, 2026 and December 31, 2025.</w:t>
      </w:r>
    </w:p>
    <w:p>
      <w:pPr>
        <w:pStyle w:val="TextBody"/>
        <w:bidi w:val="0"/>
        <w:spacing w:before="0" w:after="0"/>
        <w:ind w:left="0" w:right="0" w:hanging="0"/>
        <w:jc w:val="both"/>
        <w:rPr>
          <w:caps w:val="false"/>
          <w:smallCaps w:val="false"/>
        </w:rPr>
      </w:pPr>
      <w:r>
        <w:rPr>
          <w:caps w:val="false"/>
          <w:smallCaps w:val="false"/>
        </w:rPr>
        <w:t> </w:t>
      </w:r>
    </w:p>
    <w:tbl>
      <w:tblPr>
        <w:tblW w:w="9067" w:type="dxa"/>
        <w:jc w:val="left"/>
        <w:tblInd w:w="0" w:type="dxa"/>
        <w:tblLayout w:type="fixed"/>
        <w:tblCellMar>
          <w:top w:w="0" w:type="dxa"/>
          <w:left w:w="0" w:type="dxa"/>
          <w:bottom w:w="0" w:type="dxa"/>
          <w:right w:w="0" w:type="dxa"/>
        </w:tblCellMar>
      </w:tblPr>
      <w:tblGrid>
        <w:gridCol w:w="2000"/>
        <w:gridCol w:w="60"/>
        <w:gridCol w:w="393"/>
        <w:gridCol w:w="1111"/>
        <w:gridCol w:w="99"/>
        <w:gridCol w:w="99"/>
        <w:gridCol w:w="447"/>
        <w:gridCol w:w="1267"/>
        <w:gridCol w:w="99"/>
        <w:gridCol w:w="99"/>
        <w:gridCol w:w="232"/>
        <w:gridCol w:w="1328"/>
        <w:gridCol w:w="99"/>
        <w:gridCol w:w="99"/>
        <w:gridCol w:w="232"/>
        <w:gridCol w:w="1328"/>
        <w:gridCol w:w="75"/>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3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 30, 2026</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32"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b/>
              </w:rPr>
              <w:t>Fair Value Measurement at the Reporting Date using</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Quoted price</w:t>
              <w:br/>
              <w:t>in active</w:t>
              <w:br/>
              <w:t>markets for</w:t>
              <w:br/>
              <w:t>identical assets</w:t>
              <w:br/>
              <w:t>Level 1</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other observable</w:t>
              <w:br/>
              <w:t xml:space="preserve">inputs </w:t>
              <w:br/>
              <w:t>Level 2</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unobservable</w:t>
              <w:br/>
              <w:t xml:space="preserve">inputs </w:t>
              <w:br/>
              <w:t>Level 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b/>
              </w:rPr>
            </w:pPr>
            <w:r>
              <w:rPr>
                <w:b/>
              </w:rPr>
              <w:t>Financial liabilities:</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5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39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4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7"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pPr>
            <w:r>
              <w:rPr/>
              <w:t>142,000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28" w:type="dxa"/>
            <w:tcBorders>
              <w:bottom w:val="single" w:sz="12" w:space="0" w:color="000000"/>
            </w:tcBorders>
            <w:shd w:fill="CCEEFF" w:val="clear"/>
            <w:tcMar>
              <w:bottom w:w="28" w:type="dxa"/>
            </w:tcMar>
            <w:vAlign w:val="center"/>
          </w:tcPr>
          <w:p>
            <w:pPr>
              <w:pStyle w:val="TableContents"/>
              <w:bidi w:val="0"/>
              <w:spacing w:before="0" w:after="283"/>
              <w:jc w:val="right"/>
              <w:rPr/>
            </w:pPr>
            <w:r>
              <w:rPr/>
              <w:t>142,000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9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447"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67"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FFFFFF" w:val="clear"/>
            <w:tcMar>
              <w:bottom w:w="28" w:type="dxa"/>
            </w:tcMar>
            <w:vAlign w:val="center"/>
          </w:tcPr>
          <w:p>
            <w:pPr>
              <w:pStyle w:val="TableContents"/>
              <w:bidi w:val="0"/>
              <w:spacing w:before="0" w:after="283"/>
              <w:jc w:val="right"/>
              <w:rPr/>
            </w:pPr>
            <w:r>
              <w:rPr/>
              <w:t>142,000</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28" w:type="dxa"/>
            <w:tcBorders>
              <w:bottom w:val="double" w:sz="10" w:space="0" w:color="000000"/>
            </w:tcBorders>
            <w:shd w:fill="FFFFFF" w:val="clear"/>
            <w:tcMar>
              <w:bottom w:w="28" w:type="dxa"/>
            </w:tcMar>
            <w:vAlign w:val="center"/>
          </w:tcPr>
          <w:p>
            <w:pPr>
              <w:pStyle w:val="TableContents"/>
              <w:bidi w:val="0"/>
              <w:spacing w:before="0" w:after="283"/>
              <w:jc w:val="right"/>
              <w:rPr/>
            </w:pPr>
            <w:r>
              <w:rPr/>
              <w:t>142,000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tbl>
      <w:tblPr>
        <w:tblW w:w="8939" w:type="dxa"/>
        <w:jc w:val="left"/>
        <w:tblInd w:w="0" w:type="dxa"/>
        <w:tblLayout w:type="fixed"/>
        <w:tblCellMar>
          <w:top w:w="0" w:type="dxa"/>
          <w:left w:w="0" w:type="dxa"/>
          <w:bottom w:w="0" w:type="dxa"/>
          <w:right w:w="0" w:type="dxa"/>
        </w:tblCellMar>
      </w:tblPr>
      <w:tblGrid>
        <w:gridCol w:w="2000"/>
        <w:gridCol w:w="60"/>
        <w:gridCol w:w="354"/>
        <w:gridCol w:w="1150"/>
        <w:gridCol w:w="96"/>
        <w:gridCol w:w="96"/>
        <w:gridCol w:w="402"/>
        <w:gridCol w:w="1312"/>
        <w:gridCol w:w="96"/>
        <w:gridCol w:w="96"/>
        <w:gridCol w:w="224"/>
        <w:gridCol w:w="1281"/>
        <w:gridCol w:w="96"/>
        <w:gridCol w:w="96"/>
        <w:gridCol w:w="224"/>
        <w:gridCol w:w="1281"/>
        <w:gridCol w:w="75"/>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4"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04" w:type="dxa"/>
            <w:gridSpan w:val="14"/>
            <w:tcBorders>
              <w:bottom w:val="single" w:sz="12" w:space="0" w:color="000000"/>
            </w:tcBorders>
            <w:tcMar>
              <w:bottom w:w="28" w:type="dxa"/>
            </w:tcMar>
            <w:vAlign w:val="center"/>
          </w:tcPr>
          <w:p>
            <w:pPr>
              <w:pStyle w:val="TableContents"/>
              <w:bidi w:val="0"/>
              <w:spacing w:before="0" w:after="283"/>
              <w:jc w:val="center"/>
              <w:rPr/>
            </w:pPr>
            <w:r>
              <w:rPr/>
              <w:t> </w:t>
            </w:r>
            <w:r>
              <w:rPr>
                <w:b/>
              </w:rPr>
              <w:t>Fair Value Measurement at the Reporting Date using</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Quoted price</w:t>
              <w:br/>
              <w:t>in active</w:t>
              <w:br/>
              <w:t>markets for</w:t>
              <w:br/>
              <w:t>identical assets</w:t>
              <w:br/>
              <w:t>Level 1</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other observable</w:t>
              <w:br/>
              <w:t xml:space="preserve">inputs </w:t>
              <w:br/>
              <w:t>Level 2</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Significant</w:t>
              <w:br/>
              <w:t>unobservable</w:t>
              <w:br/>
              <w:t xml:space="preserve">inputs </w:t>
              <w:br/>
              <w:t>Level 3</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b/>
              </w:rPr>
            </w:pPr>
            <w:r>
              <w:rPr>
                <w:b/>
              </w:rPr>
              <w:t>Financial liabilities:</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4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2"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306,000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CCEEFF" w:val="clear"/>
            <w:tcMar>
              <w:bottom w:w="28" w:type="dxa"/>
            </w:tcMar>
            <w:vAlign w:val="center"/>
          </w:tcPr>
          <w:p>
            <w:pPr>
              <w:pStyle w:val="TableContents"/>
              <w:bidi w:val="0"/>
              <w:spacing w:before="0" w:after="283"/>
              <w:jc w:val="right"/>
              <w:rPr/>
            </w:pPr>
            <w:r>
              <w:rPr/>
              <w:t>306,000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35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5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40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12"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96"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2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and manages its business as a single operating and reportable segment. The Group’s CODM has been identified as the Chief Executive Officer who reviews the consolidated net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long-lived assets are substantially all located in Hong Kong and substantially all of the Group’s revenues are derived from within Hong Kong. Therefore, no geographical segments are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not to recognize right-of-use assets or lease liabilities for leases with an initial term of 12 months or less and the Group recognizes lease expense for these leases on a straight-line basis over the lease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standards which have not yet been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Group is currently evaluating the impact, if any, that the adoption of this standard will have on its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believe other recently issued but not yet effective accounting standards, if currently adopted, would have a material impact on the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LONG-TERM INVESTMENT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of June 30, 2026 and December 31, 2025, the Group’s long-term investment consists of non-marketable investments with carrying value of $15,098,846 and equity method investment at fair value option with carrying value of $nil.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Non-marketable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(expenses) income, net in the unaudited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carrying value of the non-marketable investments held as of June 30, 2026 and December 31, 2025 including cumulative unrealized upward and downward adjustments and impairment made to the initial cost basis of the investments:</w:t>
      </w:r>
    </w:p>
    <w:p>
      <w:pPr>
        <w:pStyle w:val="TextBody"/>
        <w:bidi w:val="0"/>
        <w:spacing w:before="0" w:after="0"/>
        <w:ind w:left="0" w:right="0" w:hanging="0"/>
        <w:jc w:val="both"/>
        <w:rPr>
          <w:caps w:val="false"/>
          <w:smallCaps w:val="false"/>
        </w:rPr>
      </w:pPr>
      <w:r>
        <w:rPr>
          <w:caps w:val="false"/>
          <w:smallCaps w:val="false"/>
        </w:rPr>
        <w:t> </w:t>
      </w:r>
    </w:p>
    <w:tbl>
      <w:tblPr>
        <w:tblW w:w="11805" w:type="dxa"/>
        <w:jc w:val="left"/>
        <w:tblInd w:w="0" w:type="dxa"/>
        <w:tblLayout w:type="fixed"/>
        <w:tblCellMar>
          <w:top w:w="0" w:type="dxa"/>
          <w:left w:w="0" w:type="dxa"/>
          <w:bottom w:w="0" w:type="dxa"/>
          <w:right w:w="0" w:type="dxa"/>
        </w:tblCellMar>
      </w:tblPr>
      <w:tblGrid>
        <w:gridCol w:w="1070"/>
        <w:gridCol w:w="60"/>
        <w:gridCol w:w="140"/>
        <w:gridCol w:w="980"/>
        <w:gridCol w:w="60"/>
        <w:gridCol w:w="60"/>
        <w:gridCol w:w="141"/>
        <w:gridCol w:w="1109"/>
        <w:gridCol w:w="60"/>
        <w:gridCol w:w="60"/>
        <w:gridCol w:w="144"/>
        <w:gridCol w:w="1091"/>
        <w:gridCol w:w="95"/>
        <w:gridCol w:w="60"/>
        <w:gridCol w:w="140"/>
        <w:gridCol w:w="1100"/>
        <w:gridCol w:w="60"/>
        <w:gridCol w:w="60"/>
        <w:gridCol w:w="140"/>
        <w:gridCol w:w="980"/>
        <w:gridCol w:w="60"/>
        <w:gridCol w:w="60"/>
        <w:gridCol w:w="141"/>
        <w:gridCol w:w="1109"/>
        <w:gridCol w:w="60"/>
        <w:gridCol w:w="60"/>
        <w:gridCol w:w="144"/>
        <w:gridCol w:w="1091"/>
        <w:gridCol w:w="95"/>
        <w:gridCol w:w="60"/>
        <w:gridCol w:w="140"/>
        <w:gridCol w:w="1100"/>
        <w:gridCol w:w="75"/>
      </w:tblGrid>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b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Upward</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w:t>
              <w:br/>
              <w:t>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Upward</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Carrying</w:t>
              <w:br/>
              <w:t>value</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1070" w:type="dxa"/>
            <w:tcBorders/>
            <w:shd w:fill="CCEEFF" w:val="clear"/>
            <w:vAlign w:val="center"/>
          </w:tcPr>
          <w:p>
            <w:pPr>
              <w:pStyle w:val="TableContents"/>
              <w:bidi w:val="0"/>
              <w:spacing w:before="0" w:after="283"/>
              <w:jc w:val="left"/>
              <w:rPr/>
            </w:pPr>
            <w:r>
              <w:rPr/>
              <w:t>Investment A </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2,558,886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12,539,960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15,098,846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2,558,886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12,539,960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15,098,846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70" w:type="dxa"/>
            <w:tcBorders/>
            <w:shd w:fill="FFFFFF" w:val="clear"/>
            <w:vAlign w:val="center"/>
          </w:tcPr>
          <w:p>
            <w:pPr>
              <w:pStyle w:val="TableContents"/>
              <w:bidi w:val="0"/>
              <w:spacing w:before="0" w:after="283"/>
              <w:jc w:val="left"/>
              <w:rPr/>
            </w:pPr>
            <w:r>
              <w:rPr/>
              <w:t>Investment B </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070" w:type="dxa"/>
            <w:tcBorders/>
            <w:shd w:fill="CCEEFF" w:val="clear"/>
            <w:vAlign w:val="center"/>
          </w:tcPr>
          <w:p>
            <w:pPr>
              <w:pStyle w:val="TableContents"/>
              <w:bidi w:val="0"/>
              <w:spacing w:before="0" w:after="283"/>
              <w:jc w:val="left"/>
              <w:rPr/>
            </w:pPr>
            <w:r>
              <w:rPr/>
              <w:t>Investment 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4,079,707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12,539,960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10" w:space="0" w:color="000000"/>
            </w:tcBorders>
            <w:shd w:fill="FFFFFF" w:val="clear"/>
            <w:tcMar>
              <w:bottom w:w="28" w:type="dxa"/>
            </w:tcMar>
            <w:vAlign w:val="center"/>
          </w:tcPr>
          <w:p>
            <w:pPr>
              <w:pStyle w:val="TableContents"/>
              <w:bidi w:val="0"/>
              <w:spacing w:before="0" w:after="283"/>
              <w:jc w:val="right"/>
              <w:rPr/>
            </w:pPr>
            <w:r>
              <w:rPr/>
              <w:t>(1,520,821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15,098,846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4,079,707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12,539,960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10" w:space="0" w:color="000000"/>
            </w:tcBorders>
            <w:shd w:fill="FFFFFF" w:val="clear"/>
            <w:tcMar>
              <w:bottom w:w="28" w:type="dxa"/>
            </w:tcMar>
            <w:vAlign w:val="center"/>
          </w:tcPr>
          <w:p>
            <w:pPr>
              <w:pStyle w:val="TableContents"/>
              <w:bidi w:val="0"/>
              <w:spacing w:before="0" w:after="283"/>
              <w:jc w:val="right"/>
              <w:rPr/>
            </w:pPr>
            <w:r>
              <w:rPr/>
              <w:t>(1,520,821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15,098,846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upward or downwards adjustments and impairment recorded in other income (expenses), net, and included as adjustments to the carrying value of non-marketable investments held during the six months ended June 30, 2026 and 2025 based on the observable price in an orderly transaction for the same or similar security of the same issuers.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2" w:type="dxa"/>
            <w:tcBorders/>
            <w:vAlign w:val="center"/>
          </w:tcPr>
          <w:p>
            <w:pPr>
              <w:pStyle w:val="TableContents"/>
              <w:bidi w:val="0"/>
              <w:spacing w:before="0" w:after="283"/>
              <w:jc w:val="both"/>
              <w:rPr/>
            </w:pPr>
            <w:r>
              <w:rPr/>
              <w:t>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six months ended June 30,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six months ended June 30, 2026 and 2025. The carrying value of the investment with Alzheon was $15,098,846 as of June 30, 2026 and December 31,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this investment was pledged for a convertible note issued to a related party (Note 14).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both"/>
              <w:rPr/>
            </w:pPr>
            <w:r>
              <w:rPr/>
              <w:t>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June 30, 2026 and December 31,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sell or transfer any non-marketable investments or record any realized gains or losses for the non-marketable investments measured at fair value on a non-recurring basis during the six months ended June 30, 2026 and 2025.</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method investment, fair value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For the year ended December 31, 2023, the Group has determined that the carrying value of the investment is not recoverable and this condition is determined to be other-than-temporary. Consequently, an impairment for the investment of $77,200 has been recognized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six months ended June 30, 2026 and 2025 which was the amount due from Libra.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OTHER RECEIVABLES AND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and prepayments as of June 30, 2026 and December 31, 2025 consisted of:</w:t>
      </w:r>
    </w:p>
    <w:p>
      <w:pPr>
        <w:pStyle w:val="TextBody"/>
        <w:bidi w:val="0"/>
        <w:spacing w:before="0" w:after="0"/>
        <w:ind w:left="0" w:right="0" w:hanging="0"/>
        <w:jc w:val="left"/>
        <w:rPr>
          <w:caps w:val="false"/>
          <w:smallCaps w:val="false"/>
        </w:rPr>
      </w:pPr>
      <w:r>
        <w:rPr>
          <w:caps w:val="false"/>
          <w:smallCaps w:val="false"/>
        </w:rPr>
        <w:t> </w:t>
      </w:r>
    </w:p>
    <w:tbl>
      <w:tblPr>
        <w:tblW w:w="4858" w:type="dxa"/>
        <w:jc w:val="left"/>
        <w:tblInd w:w="0" w:type="dxa"/>
        <w:tblLayout w:type="fixed"/>
        <w:tblCellMar>
          <w:top w:w="0" w:type="dxa"/>
          <w:left w:w="0" w:type="dxa"/>
          <w:bottom w:w="0" w:type="dxa"/>
          <w:right w:w="0" w:type="dxa"/>
        </w:tblCellMar>
      </w:tblPr>
      <w:tblGrid>
        <w:gridCol w:w="1820"/>
        <w:gridCol w:w="60"/>
        <w:gridCol w:w="194"/>
        <w:gridCol w:w="1115"/>
        <w:gridCol w:w="60"/>
        <w:gridCol w:w="60"/>
        <w:gridCol w:w="218"/>
        <w:gridCol w:w="1256"/>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 </w:t>
            </w:r>
            <w:r>
              <w:rPr/>
              <w:t>(</w:t>
            </w: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4,203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17,490</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Prepaid service fee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47,672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44,810</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Rental deposits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71,823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71,823</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Loan receivables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12,211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5,510</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200,909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139,633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PROPERTY AND EQUIPMENT,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June 30, 2026 and December 31, 2025 consisted of: </w:t>
      </w:r>
    </w:p>
    <w:p>
      <w:pPr>
        <w:pStyle w:val="TextBody"/>
        <w:bidi w:val="0"/>
        <w:spacing w:before="0" w:after="0"/>
        <w:ind w:left="0" w:right="0" w:hanging="0"/>
        <w:jc w:val="left"/>
        <w:rPr>
          <w:caps w:val="false"/>
          <w:smallCaps w:val="false"/>
        </w:rPr>
      </w:pPr>
      <w:r>
        <w:rPr>
          <w:caps w:val="false"/>
          <w:smallCaps w:val="false"/>
        </w:rPr>
        <w:t> </w:t>
      </w:r>
    </w:p>
    <w:tbl>
      <w:tblPr>
        <w:tblW w:w="7934" w:type="dxa"/>
        <w:jc w:val="left"/>
        <w:tblInd w:w="0" w:type="dxa"/>
        <w:tblLayout w:type="fixed"/>
        <w:tblCellMar>
          <w:top w:w="0" w:type="dxa"/>
          <w:left w:w="0" w:type="dxa"/>
          <w:bottom w:w="0" w:type="dxa"/>
          <w:right w:w="0" w:type="dxa"/>
        </w:tblCellMar>
      </w:tblPr>
      <w:tblGrid>
        <w:gridCol w:w="4955"/>
        <w:gridCol w:w="60"/>
        <w:gridCol w:w="163"/>
        <w:gridCol w:w="1146"/>
        <w:gridCol w:w="60"/>
        <w:gridCol w:w="60"/>
        <w:gridCol w:w="176"/>
        <w:gridCol w:w="1239"/>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 </w:t>
            </w: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69,291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69,291</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Furniture, fixture, and office and medical equipment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32,435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32,435</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108,187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9" w:type="dxa"/>
            <w:tcBorders/>
            <w:shd w:fill="CCEEFF" w:val="clear"/>
            <w:vAlign w:val="center"/>
          </w:tcPr>
          <w:p>
            <w:pPr>
              <w:pStyle w:val="TableContents"/>
              <w:bidi w:val="0"/>
              <w:spacing w:before="0" w:after="283"/>
              <w:jc w:val="right"/>
              <w:rPr/>
            </w:pPr>
            <w:r>
              <w:rPr/>
              <w:t>108,187</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4,335,722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4,335,722</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Motor vehicle under finance leases</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12" w:space="0" w:color="000000"/>
            </w:tcBorders>
            <w:shd w:fill="CCEEFF" w:val="clear"/>
            <w:tcMar>
              <w:bottom w:w="28" w:type="dxa"/>
            </w:tcMar>
            <w:vAlign w:val="center"/>
          </w:tcPr>
          <w:p>
            <w:pPr>
              <w:pStyle w:val="TableContents"/>
              <w:bidi w:val="0"/>
              <w:spacing w:before="0" w:after="283"/>
              <w:jc w:val="right"/>
              <w:rPr/>
            </w:pPr>
            <w:r>
              <w:rPr/>
              <w:t>239,093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239,093</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4,784,728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4,784,728</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accumulated depreciation and impairment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12" w:space="0" w:color="000000"/>
            </w:tcBorders>
            <w:shd w:fill="CCEEFF" w:val="clear"/>
            <w:tcMar>
              <w:bottom w:w="28" w:type="dxa"/>
            </w:tcMar>
            <w:vAlign w:val="center"/>
          </w:tcPr>
          <w:p>
            <w:pPr>
              <w:pStyle w:val="TableContents"/>
              <w:bidi w:val="0"/>
              <w:spacing w:before="0" w:after="283"/>
              <w:jc w:val="right"/>
              <w:rPr/>
            </w:pPr>
            <w:r>
              <w:rPr/>
              <w:t>4,784,728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4,784,728</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46"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no impairment loss was recorded.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 are no amortization expenses for intangible assets for both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ACCOUNTS PAYABLE AND ACCRUED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as of June 30, 2026 and December 31, 2025 consisted of:</w:t>
      </w:r>
    </w:p>
    <w:p>
      <w:pPr>
        <w:pStyle w:val="TextBody"/>
        <w:bidi w:val="0"/>
        <w:spacing w:before="0" w:after="0"/>
        <w:ind w:left="0" w:right="0" w:hanging="0"/>
        <w:jc w:val="left"/>
        <w:rPr>
          <w:caps w:val="false"/>
          <w:smallCaps w:val="false"/>
        </w:rPr>
      </w:pPr>
      <w:r>
        <w:rPr>
          <w:caps w:val="false"/>
          <w:smallCaps w:val="false"/>
        </w:rPr>
        <w:t> </w:t>
      </w:r>
    </w:p>
    <w:tbl>
      <w:tblPr>
        <w:tblW w:w="7274" w:type="dxa"/>
        <w:jc w:val="left"/>
        <w:tblInd w:w="0" w:type="dxa"/>
        <w:tblLayout w:type="fixed"/>
        <w:tblCellMar>
          <w:top w:w="0" w:type="dxa"/>
          <w:left w:w="0" w:type="dxa"/>
          <w:bottom w:w="0" w:type="dxa"/>
          <w:right w:w="0" w:type="dxa"/>
        </w:tblCellMar>
      </w:tblPr>
      <w:tblGrid>
        <w:gridCol w:w="4295"/>
        <w:gridCol w:w="60"/>
        <w:gridCol w:w="194"/>
        <w:gridCol w:w="1115"/>
        <w:gridCol w:w="60"/>
        <w:gridCol w:w="60"/>
        <w:gridCol w:w="176"/>
        <w:gridCol w:w="1239"/>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 </w:t>
            </w: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Research and development expenses payable</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830,766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1239" w:type="dxa"/>
            <w:tcBorders/>
            <w:shd w:fill="CCEEFF" w:val="clear"/>
            <w:vAlign w:val="center"/>
          </w:tcPr>
          <w:p>
            <w:pPr>
              <w:pStyle w:val="TableContents"/>
              <w:bidi w:val="0"/>
              <w:spacing w:before="0" w:after="283"/>
              <w:jc w:val="right"/>
              <w:rPr/>
            </w:pPr>
            <w:r>
              <w:rPr/>
              <w:t>830,189</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Professional fees payable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30,247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185,247</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61,805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single" w:sz="12" w:space="0" w:color="000000"/>
            </w:tcBorders>
            <w:shd w:fill="CCEEFF" w:val="clear"/>
            <w:tcMar>
              <w:bottom w:w="28" w:type="dxa"/>
            </w:tcMar>
            <w:vAlign w:val="center"/>
          </w:tcPr>
          <w:p>
            <w:pPr>
              <w:pStyle w:val="TableContents"/>
              <w:bidi w:val="0"/>
              <w:spacing w:before="0" w:after="283"/>
              <w:jc w:val="right"/>
              <w:rPr/>
            </w:pPr>
            <w:r>
              <w:rPr/>
              <w:t>56,279</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922,818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39" w:type="dxa"/>
            <w:tcBorders>
              <w:bottom w:val="double" w:sz="10" w:space="0" w:color="000000"/>
            </w:tcBorders>
            <w:shd w:fill="FFFFFF" w:val="clear"/>
            <w:tcMar>
              <w:bottom w:w="28" w:type="dxa"/>
            </w:tcMar>
            <w:vAlign w:val="center"/>
          </w:tcPr>
          <w:p>
            <w:pPr>
              <w:pStyle w:val="TableContents"/>
              <w:bidi w:val="0"/>
              <w:spacing w:before="0" w:after="283"/>
              <w:jc w:val="right"/>
              <w:rPr/>
            </w:pPr>
            <w:r>
              <w:rPr/>
              <w:t>1,071,715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file tax returns separately.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under the current laws of the Cayman Islands, the Company and its subsidiaries in the Cayman Islands are not subject to taxes on their income and capital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in accordance with the relevant tax laws and regulations of Hong Kong, a company registered in Hong Kong is subject to income taxes within Hong Kong at the applicable tax rate on taxable income. All the Hong Kong subsidiaries that are not entitled to any tax holiday were subject to income tax at a rate of 16.5%. The subsidiaries of the Group in Hong Kong did not have assessable profits that were derived Hong Kong during the six months ended June 30, 2026 and 2025. Therefore, no Hong Kong profit tax has been provided for in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in accordance with the relevant tax laws and regulations of United Kingdom, a company registered in the United Kingdom is subject to income taxes within the United Kingdom at the applicable tax rate on taxable income. All the United Kingdom subsidiaries that are not entitled to any tax holiday were subject to income tax at a rate of 19%. The subsidiary of the Group in the United Kingdom did not have assessable profits that were derived from the United Kingdom during the six months ended June 30, 2026 and 2025. Therefore, no United Kingdom profit tax has been provided for in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six months ended June 30, 2026 and 2025. Therefore, no Singapore profit tax has been provided for in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six months ended June 30, 2026 and 2025. Therefore, no United States profit tax has been provided for in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semi-annually basis, the Group evaluates the realizability of deferred tax assets by jurisdiction and assesses the need for a valuation allowance. In assessing the realizability of deferred tax assets, the Group considers historical profitability, evaluation of scheduled reversals of deferred tax liabilities, projected future taxable income and tax-planning strategies. Valuation allowances have been provided on deferred tax assets where, based on all available evidence, it was considered more likely than not that some portion or all of the recorded deferred tax assets will not be realized in future periods. After consideration of all positive and negative evidence, the Group believes that as of June 30, 2026, it is more likely than not the deferred tax assets will not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RELATED PARTY BALANCES AND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a director and related parties to which the Group has transactions with:</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pPr>
            <w:r>
              <w:rPr/>
              <w:t>Ian Huen, the Chief Executive Officer and Executive Director of the Group since November 2023. He was a Non-executive Director from June 2022 to November 2023. Before June 2022, he was the Chief Executive Officer and Executive Director;</w:t>
            </w:r>
          </w:p>
        </w:tc>
      </w:tr>
      <w:tr>
        <w:trPr/>
        <w:tc>
          <w:tcPr>
            <w:tcW w:w="253"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both"/>
              <w:rPr/>
            </w:pPr>
            <w:r>
              <w:rPr/>
              <w:t> </w:t>
            </w:r>
          </w:p>
        </w:tc>
      </w:tr>
      <w:tr>
        <w:trPr/>
        <w:tc>
          <w:tcPr>
            <w:tcW w:w="253" w:type="dxa"/>
            <w:tcBorders/>
            <w:vAlign w:val="center"/>
          </w:tcPr>
          <w:p>
            <w:pPr>
              <w:pStyle w:val="TableContents"/>
              <w:bidi w:val="0"/>
              <w:spacing w:before="0" w:after="283"/>
              <w:jc w:val="left"/>
              <w:rPr/>
            </w:pPr>
            <w:r>
              <w:rPr/>
              <w:t>(b)</w:t>
            </w:r>
          </w:p>
        </w:tc>
        <w:tc>
          <w:tcPr>
            <w:tcW w:w="9952" w:type="dxa"/>
            <w:tcBorders/>
            <w:vAlign w:val="center"/>
          </w:tcPr>
          <w:p>
            <w:pPr>
              <w:pStyle w:val="TableContents"/>
              <w:bidi w:val="0"/>
              <w:spacing w:before="0" w:after="283"/>
              <w:jc w:val="both"/>
              <w:rPr/>
            </w:pPr>
            <w:r>
              <w:rPr/>
              <w:t>Aeneas Group Limited, an entity controlled by Ian Huen;</w:t>
            </w:r>
          </w:p>
        </w:tc>
      </w:tr>
      <w:tr>
        <w:trPr/>
        <w:tc>
          <w:tcPr>
            <w:tcW w:w="253"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both"/>
              <w:rPr/>
            </w:pPr>
            <w:r>
              <w:rPr/>
              <w:t> </w:t>
            </w:r>
          </w:p>
        </w:tc>
      </w:tr>
      <w:tr>
        <w:trPr/>
        <w:tc>
          <w:tcPr>
            <w:tcW w:w="253"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Jurchen Investment Corporation, the holding company and an entity controlled by Ian Huen;</w:t>
            </w:r>
          </w:p>
        </w:tc>
      </w:tr>
      <w:tr>
        <w:trPr/>
        <w:tc>
          <w:tcPr>
            <w:tcW w:w="253" w:type="dxa"/>
            <w:tcBorders/>
            <w:vAlign w:val="center"/>
          </w:tcPr>
          <w:p>
            <w:pPr>
              <w:pStyle w:val="TableContents"/>
              <w:bidi w:val="0"/>
              <w:spacing w:before="0" w:after="283"/>
              <w:jc w:val="left"/>
              <w:rPr/>
            </w:pPr>
            <w:r>
              <w:rPr/>
              <w:t> </w:t>
            </w:r>
          </w:p>
        </w:tc>
        <w:tc>
          <w:tcPr>
            <w:tcW w:w="9952" w:type="dxa"/>
            <w:tcBorders/>
            <w:vAlign w:val="center"/>
          </w:tcPr>
          <w:p>
            <w:pPr>
              <w:pStyle w:val="TableContents"/>
              <w:bidi w:val="0"/>
              <w:spacing w:before="0" w:after="283"/>
              <w:jc w:val="both"/>
              <w:rPr/>
            </w:pPr>
            <w:r>
              <w:rPr/>
              <w:t> </w:t>
            </w:r>
          </w:p>
        </w:tc>
      </w:tr>
      <w:tr>
        <w:trPr/>
        <w:tc>
          <w:tcPr>
            <w:tcW w:w="253" w:type="dxa"/>
            <w:tcBorders/>
            <w:vAlign w:val="center"/>
          </w:tcPr>
          <w:p>
            <w:pPr>
              <w:pStyle w:val="TableContents"/>
              <w:bidi w:val="0"/>
              <w:spacing w:before="0" w:after="283"/>
              <w:jc w:val="left"/>
              <w:rPr/>
            </w:pPr>
            <w:r>
              <w:rPr/>
              <w:t>(d)</w:t>
            </w:r>
          </w:p>
        </w:tc>
        <w:tc>
          <w:tcPr>
            <w:tcW w:w="9952" w:type="dxa"/>
            <w:tcBorders/>
            <w:vAlign w:val="center"/>
          </w:tcPr>
          <w:p>
            <w:pPr>
              <w:pStyle w:val="TableContents"/>
              <w:bidi w:val="0"/>
              <w:spacing w:before="0" w:after="283"/>
              <w:jc w:val="both"/>
              <w:rPr/>
            </w:pPr>
            <w:r>
              <w:rPr/>
              <w:t>Libra Sciences Limited, an entity which was originally a wholly owned subsidiary of Aptorum Therapeutics Limited (“ATL”). Since December 30, 2021, Libra has been turned into a related party to the Group due to the voting power owned by ATL is decreased to below 50% but more than 20%; (Note 11).</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Amounts due from related party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party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6254" w:type="dxa"/>
        <w:jc w:val="left"/>
        <w:tblInd w:w="0" w:type="dxa"/>
        <w:tblLayout w:type="fixed"/>
        <w:tblCellMar>
          <w:top w:w="0" w:type="dxa"/>
          <w:left w:w="0" w:type="dxa"/>
          <w:bottom w:w="0" w:type="dxa"/>
          <w:right w:w="0" w:type="dxa"/>
        </w:tblCellMar>
      </w:tblPr>
      <w:tblGrid>
        <w:gridCol w:w="3080"/>
        <w:gridCol w:w="60"/>
        <w:gridCol w:w="180"/>
        <w:gridCol w:w="1129"/>
        <w:gridCol w:w="95"/>
        <w:gridCol w:w="60"/>
        <w:gridCol w:w="140"/>
        <w:gridCol w:w="1400"/>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pPr>
            <w:r>
              <w:rPr/>
              <w:t> </w:t>
            </w: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Libra Sciences Limited (Note b)</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129" w:type="dxa"/>
            <w:tcBorders/>
            <w:shd w:fill="CCEEFF" w:val="clear"/>
            <w:vAlign w:val="center"/>
          </w:tcPr>
          <w:p>
            <w:pPr>
              <w:pStyle w:val="TableContents"/>
              <w:bidi w:val="0"/>
              <w:spacing w:before="0" w:after="283"/>
              <w:jc w:val="right"/>
              <w:rPr/>
            </w:pPr>
            <w:r>
              <w:rPr/>
              <w:t>522,192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          </w:t>
            </w:r>
            <w:r>
              <w:rPr/>
              <w:t>522,192</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12" w:space="0" w:color="000000"/>
            </w:tcBorders>
            <w:shd w:fill="FFFFFF" w:val="clear"/>
            <w:tcMar>
              <w:bottom w:w="28" w:type="dxa"/>
            </w:tcMar>
            <w:vAlign w:val="center"/>
          </w:tcPr>
          <w:p>
            <w:pPr>
              <w:pStyle w:val="TableContents"/>
              <w:bidi w:val="0"/>
              <w:spacing w:before="0" w:after="283"/>
              <w:jc w:val="right"/>
              <w:rPr/>
            </w:pPr>
            <w:r>
              <w:rPr/>
              <w:t>(522,192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12" w:space="0" w:color="000000"/>
            </w:tcBorders>
            <w:shd w:fill="FFFFFF" w:val="clear"/>
            <w:tcMar>
              <w:bottom w:w="28" w:type="dxa"/>
            </w:tcMar>
            <w:vAlign w:val="center"/>
          </w:tcPr>
          <w:p>
            <w:pPr>
              <w:pStyle w:val="TableContents"/>
              <w:bidi w:val="0"/>
              <w:spacing w:before="0" w:after="283"/>
              <w:jc w:val="right"/>
              <w:rPr/>
            </w:pPr>
            <w:r>
              <w:rPr/>
              <w:t>(522,192</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2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Amounts due to 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6094" w:type="dxa"/>
        <w:jc w:val="left"/>
        <w:tblInd w:w="0" w:type="dxa"/>
        <w:tblLayout w:type="fixed"/>
        <w:tblCellMar>
          <w:top w:w="0" w:type="dxa"/>
          <w:left w:w="0" w:type="dxa"/>
          <w:bottom w:w="0" w:type="dxa"/>
          <w:right w:w="0" w:type="dxa"/>
        </w:tblCellMar>
      </w:tblPr>
      <w:tblGrid>
        <w:gridCol w:w="3050"/>
        <w:gridCol w:w="60"/>
        <w:gridCol w:w="212"/>
        <w:gridCol w:w="1037"/>
        <w:gridCol w:w="60"/>
        <w:gridCol w:w="60"/>
        <w:gridCol w:w="140"/>
        <w:gridCol w:w="1400"/>
        <w:gridCol w:w="75"/>
      </w:tblGrid>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50" w:type="dxa"/>
            <w:tcBorders/>
            <w:shd w:fill="CCEEFF" w:val="clear"/>
            <w:vAlign w:val="center"/>
          </w:tcPr>
          <w:p>
            <w:pPr>
              <w:pStyle w:val="TableContents"/>
              <w:bidi w:val="0"/>
              <w:spacing w:before="0" w:after="283"/>
              <w:jc w:val="left"/>
              <w:rPr/>
            </w:pPr>
            <w:r>
              <w:rPr/>
              <w:t>Aeneas Group Limited (Note a)</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79,180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r>
              <w:rPr/>
              <w:t>79,180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74" w:type="dxa"/>
        <w:jc w:val="left"/>
        <w:tblInd w:w="0" w:type="dxa"/>
        <w:tblLayout w:type="fixed"/>
        <w:tblCellMar>
          <w:top w:w="0" w:type="dxa"/>
          <w:left w:w="0" w:type="dxa"/>
          <w:bottom w:w="0" w:type="dxa"/>
          <w:right w:w="0" w:type="dxa"/>
        </w:tblCellMar>
      </w:tblPr>
      <w:tblGrid>
        <w:gridCol w:w="4670"/>
        <w:gridCol w:w="60"/>
        <w:gridCol w:w="155"/>
        <w:gridCol w:w="1094"/>
        <w:gridCol w:w="60"/>
        <w:gridCol w:w="60"/>
        <w:gridCol w:w="140"/>
        <w:gridCol w:w="1460"/>
        <w:gridCol w:w="75"/>
      </w:tblGrid>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left"/>
              <w:rPr>
                <w:b/>
              </w:rPr>
            </w:pPr>
            <w:r>
              <w:rPr>
                <w:b/>
              </w:rPr>
              <w:t>Convertible notes to a related party - Current</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670" w:type="dxa"/>
            <w:tcBorders/>
            <w:shd w:fill="CCEEFF" w:val="clear"/>
            <w:vAlign w:val="center"/>
          </w:tcPr>
          <w:p>
            <w:pPr>
              <w:pStyle w:val="TableContents"/>
              <w:bidi w:val="0"/>
              <w:spacing w:before="0" w:after="283"/>
              <w:jc w:val="left"/>
              <w:rPr/>
            </w:pPr>
            <w:r>
              <w:rPr/>
              <w:t>Jurchen Investment Corporation (Note 14)</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3,508,500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w:t>
            </w:r>
            <w:r>
              <w:rPr/>
              <w:t>3,418,500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consisted of the following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6013" w:type="dxa"/>
        <w:jc w:val="left"/>
        <w:tblInd w:w="0" w:type="dxa"/>
        <w:tblLayout w:type="fixed"/>
        <w:tblCellMar>
          <w:top w:w="0" w:type="dxa"/>
          <w:left w:w="0" w:type="dxa"/>
          <w:bottom w:w="0" w:type="dxa"/>
          <w:right w:w="0" w:type="dxa"/>
        </w:tblCellMar>
      </w:tblPr>
      <w:tblGrid>
        <w:gridCol w:w="3200"/>
        <w:gridCol w:w="60"/>
        <w:gridCol w:w="213"/>
        <w:gridCol w:w="1036"/>
        <w:gridCol w:w="90"/>
        <w:gridCol w:w="90"/>
        <w:gridCol w:w="213"/>
        <w:gridCol w:w="1036"/>
        <w:gridCol w:w="75"/>
      </w:tblGrid>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Interest expenses (Note 14)</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20"/>
              <w:jc w:val="left"/>
              <w:rPr/>
            </w:pPr>
            <w:r>
              <w:rPr/>
              <w:t> </w:t>
            </w:r>
          </w:p>
        </w:tc>
      </w:tr>
      <w:tr>
        <w:trPr/>
        <w:tc>
          <w:tcPr>
            <w:tcW w:w="3200" w:type="dxa"/>
            <w:tcBorders/>
            <w:shd w:fill="CCEEFF" w:val="clear"/>
            <w:vAlign w:val="center"/>
          </w:tcPr>
          <w:p>
            <w:pPr>
              <w:pStyle w:val="TableContents"/>
              <w:bidi w:val="0"/>
              <w:spacing w:before="0" w:after="283"/>
              <w:jc w:val="left"/>
              <w:rPr/>
            </w:pPr>
            <w:r>
              <w:rPr/>
              <w:t>- Jurchen Investment Corporation</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90,000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90,000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3 years to August 12, 2024.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date of this unaudited condensed consolidated financial statements, the undrawn line of credit facility is $12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unaudited condensed consolidated financial statements, $0.5 million is outstanding from Libra Sciences Limited. For the six months ended June 30, 2026 and year ended December 31, 2025, the Group has assessed that the amounts due from Libra Science Limited and its subsidiary are potentially unrecoverable. Accordingly, as at period ended 30 June 2025 an allowance for credit loss amounting to $0.5 million has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Company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The Company determined that all these three companies are variable interest entities (“VIE”). On December 31, 2021, Libra, Mios and Scipio further issued Class A ordinary shares to a wholly owned subsidiary of the Company in exchange of certain projects licenses. Upon these share issuances, the Company, through a wholly owned subsidiary, was holding 97.27% economic interest and 31.51% voting power in Libra, 97.93% economic interest and 36.17% voting power in Mios, and 97.93% economic interest and 35.06% voting power in Scipio,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considered each of these entity’s Memorandum and Article of Association and their respective board of directors (the sole director of each of Mios and Scipio is an executive director of the Group), and determined that The Company has the power to manage and make decisions that affect Mios and Scipio’s research and development activities, which activities most significantly impact Mios and Scipio’s economic performance. However, the Company does not have such power over Libra’s research and development activities, which activities most significantly impact Libra’s economic performance. Accordingly, the Company determined that it is the primary beneficiary of Mios and Scipio, but not the primary beneficiary of Libra.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Mios was dissolved and ceased operation and it was deemed disposed by the Group. As at period ended June 30, 2026 and December 31, 2025, the asset and liability of the consolidated VIE is both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has only short-term operating lease and the non-short-term operating lease for laboratory and clinic was expired in March, 2026.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p>
      <w:pPr>
        <w:pStyle w:val="TextBody"/>
        <w:bidi w:val="0"/>
        <w:spacing w:before="0" w:after="0"/>
        <w:ind w:left="0" w:right="0" w:hanging="0"/>
        <w:jc w:val="both"/>
        <w:rPr>
          <w:caps w:val="false"/>
          <w:smallCaps w:val="false"/>
        </w:rPr>
      </w:pPr>
      <w:r>
        <w:rPr>
          <w:caps w:val="false"/>
          <w:smallCaps w:val="false"/>
        </w:rPr>
        <w:t> </w:t>
      </w:r>
    </w:p>
    <w:tbl>
      <w:tblPr>
        <w:tblW w:w="9643" w:type="dxa"/>
        <w:jc w:val="left"/>
        <w:tblInd w:w="0" w:type="dxa"/>
        <w:tblLayout w:type="fixed"/>
        <w:tblCellMar>
          <w:top w:w="0" w:type="dxa"/>
          <w:left w:w="0" w:type="dxa"/>
          <w:bottom w:w="0" w:type="dxa"/>
          <w:right w:w="0" w:type="dxa"/>
        </w:tblCellMar>
      </w:tblPr>
      <w:tblGrid>
        <w:gridCol w:w="6605"/>
        <w:gridCol w:w="60"/>
        <w:gridCol w:w="212"/>
        <w:gridCol w:w="1037"/>
        <w:gridCol w:w="79"/>
        <w:gridCol w:w="79"/>
        <w:gridCol w:w="185"/>
        <w:gridCol w:w="1156"/>
        <w:gridCol w:w="230"/>
      </w:tblGrid>
      <w:tr>
        <w:trPr/>
        <w:tc>
          <w:tcPr>
            <w:tcW w:w="6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4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230"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4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jc w:val="left"/>
              <w:rPr/>
            </w:pPr>
            <w:r>
              <w:rPr/>
              <w:t> </w:t>
            </w:r>
          </w:p>
        </w:tc>
      </w:tr>
      <w:tr>
        <w:trPr/>
        <w:tc>
          <w:tcPr>
            <w:tcW w:w="6605" w:type="dxa"/>
            <w:tcBorders/>
            <w:vAlign w:val="center"/>
          </w:tcPr>
          <w:p>
            <w:pPr>
              <w:pStyle w:val="TableContents"/>
              <w:bidi w:val="0"/>
              <w:spacing w:before="0" w:after="283"/>
              <w:jc w:val="both"/>
              <w:rPr/>
            </w:pPr>
            <w:r>
              <w:rPr/>
              <w:t>Lease cost</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341"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both"/>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156"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both"/>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both"/>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both"/>
              <w:rPr/>
            </w:pPr>
            <w:r>
              <w:rPr/>
              <w:t>Other information</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both"/>
              <w:rPr/>
            </w:pPr>
            <w:r>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both"/>
              <w:rPr/>
            </w:pPr>
            <w:r>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w:t>
            </w:r>
          </w:p>
        </w:tc>
        <w:tc>
          <w:tcPr>
            <w:tcW w:w="1037" w:type="dxa"/>
            <w:tcBorders/>
            <w:shd w:fill="FFFFFF" w:val="clear"/>
            <w:vAlign w:val="center"/>
          </w:tcPr>
          <w:p>
            <w:pPr>
              <w:pStyle w:val="TableContents"/>
              <w:bidi w:val="0"/>
              <w:spacing w:before="0" w:after="283"/>
              <w:jc w:val="right"/>
              <w:rPr/>
            </w:pPr>
            <w:r>
              <w:rPr/>
              <w:t>24,573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w:t>
            </w:r>
          </w:p>
        </w:tc>
        <w:tc>
          <w:tcPr>
            <w:tcW w:w="1156" w:type="dxa"/>
            <w:tcBorders/>
            <w:shd w:fill="FFFFFF" w:val="clear"/>
            <w:vAlign w:val="center"/>
          </w:tcPr>
          <w:p>
            <w:pPr>
              <w:pStyle w:val="TableContents"/>
              <w:bidi w:val="0"/>
              <w:spacing w:before="0" w:after="283"/>
              <w:jc w:val="right"/>
              <w:rPr/>
            </w:pPr>
            <w:r>
              <w:rPr/>
              <w:t>39,415</w:t>
            </w:r>
          </w:p>
        </w:tc>
        <w:tc>
          <w:tcPr>
            <w:tcW w:w="230" w:type="dxa"/>
            <w:tcBorders/>
            <w:shd w:fill="FFFFFF" w:val="clear"/>
            <w:vAlign w:val="center"/>
          </w:tcPr>
          <w:p>
            <w:pPr>
              <w:pStyle w:val="TableContents"/>
              <w:bidi w:val="0"/>
              <w:spacing w:before="0" w:after="283"/>
              <w:jc w:val="left"/>
              <w:rPr/>
            </w:pPr>
            <w:r>
              <w:rPr/>
              <w:t> </w:t>
            </w:r>
          </w:p>
        </w:tc>
      </w:tr>
      <w:tr>
        <w:trPr/>
        <w:tc>
          <w:tcPr>
            <w:tcW w:w="6605" w:type="dxa"/>
            <w:tcBorders/>
            <w:shd w:fill="CCEEFF" w:val="clear"/>
            <w:vAlign w:val="center"/>
          </w:tcPr>
          <w:p>
            <w:pPr>
              <w:pStyle w:val="TableContents"/>
              <w:bidi w:val="0"/>
              <w:spacing w:before="0" w:after="283"/>
              <w:jc w:val="both"/>
              <w:rPr/>
            </w:pPr>
            <w:r>
              <w:rPr/>
              <w:t>Weighted-average remaining lease term – operating leases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pPr>
            <w:r>
              <w:rPr/>
              <w:t>0.7 years</w:t>
            </w:r>
          </w:p>
        </w:tc>
        <w:tc>
          <w:tcPr>
            <w:tcW w:w="230" w:type="dxa"/>
            <w:tcBorders/>
            <w:shd w:fill="CCEEFF" w:val="clear"/>
            <w:vAlign w:val="center"/>
          </w:tcPr>
          <w:p>
            <w:pPr>
              <w:pStyle w:val="TableContents"/>
              <w:bidi w:val="0"/>
              <w:spacing w:before="0" w:after="283"/>
              <w:jc w:val="left"/>
              <w:rPr/>
            </w:pPr>
            <w:r>
              <w:rPr/>
              <w:t> </w:t>
            </w:r>
          </w:p>
        </w:tc>
      </w:tr>
      <w:tr>
        <w:trPr/>
        <w:tc>
          <w:tcPr>
            <w:tcW w:w="6605" w:type="dxa"/>
            <w:tcBorders/>
            <w:shd w:fill="FFFFFF" w:val="clear"/>
            <w:vAlign w:val="center"/>
          </w:tcPr>
          <w:p>
            <w:pPr>
              <w:pStyle w:val="TableContents"/>
              <w:bidi w:val="0"/>
              <w:spacing w:before="0" w:after="283"/>
              <w:jc w:val="both"/>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8.0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and 2025, there was no impairment recorded on right-of-use assets, respectively, on right-of-use assets because it has been fully impaired during 2024 as the Group considered that the carrying amount of a right-of-use asset related to leases of laboratory and clinic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certain securities purchase agreement (the “Securities Purchase Agreement”) with certain non-affiliated institutional investors (the “Purchasers”) pursuant to which the Company sold 153,500 Class A ordinary shares of the Company (the “Shares”), par value $0.0001 per share (the “Ordinary Shares”) at a per share price of $20.0 in a registered direct offering, for gross proceeds of $3,070,000 (the “Offering”). and the net proceeds after deducting the related expense is $2,699,200 The Securities Purchase Agreement was fully executed on January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closed an offering, issuing 100,000 Class A ordinary shares and warrants to purchase 200,000 restricted warrants (the “Investor Warrants”), for aggregate gross proceeds of $2,000,000 (the “October 2025 Offering”). Cash issuance costs are $284,001 and the net proceeds from the October 2025 Offering were approximately $1,716,000.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$2,000,000 gross proceeds, $996,000 was allocated to the liability-classified Investor Warrants at their fair value, with the residual $1,004,000 allocated to the equity-classified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the Company issued warrants to purchase 6,018 Class A ordinary shares to the placement agent’s designees (the “Placement Agent Warrants”) at an exercise price of $25.0 per share. The Placement Agent Warrants had a grant-date fair value of $23,606 (see Note 16) which was treated as an issuance cost of the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effectuated a 10 for 1 share consolidation of its authorized share capital, such that every 10 Class A Ordinary Shares, par value of US$0.00001 per share, in the authorized share capital of the Company (including issued and unissued share capital) be consolidated into 1 Class A Ordinary Share, par value of US$0.0001 per share, and that every 10 Class B Ordinary Shares, par value of US$0.00001 per share in the authorized share capital of Aptorum (including issued and unissued share capital) be consolidated into 1 Class B Ordinary Share, par value of US$0.0001 per share (the “Share Consolidation” or “Reverse Split”). The Reverse Split was approved by the Company’s shareholders on June 9, 2026 and Company’s board of directors approved implementing the Reverse Split effective as of July 20, 2026. Accordingly, the Reverse Split was effective and the Class A Ordinary Shares began trading on a split-adjusted basis when the market opened on July 20, 2026. Immediately prior to the Share Consolidation, Company had 6,346,823 Class A Ordinary Shares outstanding and 1,796,934 Class B Ordinary Shares outstanding. Following the Share Consolidation, there are 634,682 Class A Ordinary Shares outstanding and 179,693 Class B Ordinary Shares outstanding (these numbers are based on the current number of shares outstanding and are subject to change, in either direction, once the Reverse Split is effected on an individual basis). As a result of the Reverse Split, the Company’s authorized share capital was US$100,000,000 divided into 999,999,600 Class A Ordinary Shares with a par value of US$0.0001 each and 400,000 Class B Ordinary Shares with a par value of US$0.0001 each. All per share amounts and shares outstanding for all periods have been retroactively restated to reflect the Reverse Split.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On September 11, 2025, the Group entered into an extension agreement with Jurchen Investment Corporation to extend the Sep 2023 Notes further for 12 months.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NET LOSS PER SHARE</w:t>
      </w:r>
    </w:p>
    <w:p>
      <w:pPr>
        <w:pStyle w:val="TextBody"/>
        <w:bidi w:val="0"/>
        <w:spacing w:before="0" w:after="0"/>
        <w:ind w:left="0" w:right="0" w:firstLine="60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per share:</w:t>
      </w:r>
    </w:p>
    <w:p>
      <w:pPr>
        <w:pStyle w:val="TextBody"/>
        <w:bidi w:val="0"/>
        <w:spacing w:before="0" w:after="0"/>
        <w:ind w:left="0" w:right="0" w:hanging="0"/>
        <w:jc w:val="left"/>
        <w:rPr>
          <w:caps w:val="false"/>
          <w:smallCaps w:val="false"/>
        </w:rPr>
      </w:pPr>
      <w:r>
        <w:rPr>
          <w:caps w:val="false"/>
          <w:smallCaps w:val="false"/>
        </w:rPr>
        <w:t> </w:t>
      </w:r>
    </w:p>
    <w:tbl>
      <w:tblPr>
        <w:tblW w:w="8431" w:type="dxa"/>
        <w:jc w:val="left"/>
        <w:tblInd w:w="0" w:type="dxa"/>
        <w:tblLayout w:type="fixed"/>
        <w:tblCellMar>
          <w:top w:w="0" w:type="dxa"/>
          <w:left w:w="0" w:type="dxa"/>
          <w:bottom w:w="0" w:type="dxa"/>
          <w:right w:w="0" w:type="dxa"/>
        </w:tblCellMar>
      </w:tblPr>
      <w:tblGrid>
        <w:gridCol w:w="5525"/>
        <w:gridCol w:w="60"/>
        <w:gridCol w:w="70"/>
        <w:gridCol w:w="1239"/>
        <w:gridCol w:w="109"/>
        <w:gridCol w:w="69"/>
        <w:gridCol w:w="172"/>
        <w:gridCol w:w="1077"/>
        <w:gridCol w:w="110"/>
      </w:tblGrid>
      <w:tr>
        <w:trPr/>
        <w:tc>
          <w:tcPr>
            <w:tcW w:w="5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3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11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r>
              <w:rPr>
                <w:b/>
              </w:rPr>
              <w:t>(Unaudited)</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Net loss attributable to Niki BioSolutions, Inc.</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(1,326,004</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jc w:val="left"/>
              <w:rPr/>
            </w:pPr>
            <w:r>
              <w:rPr/>
              <w:t>)</w:t>
            </w:r>
          </w:p>
        </w:tc>
      </w:tr>
      <w:tr>
        <w:trPr/>
        <w:tc>
          <w:tcPr>
            <w:tcW w:w="552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Basic and diluted weighted average shares outstanding (1)</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814,375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712,680</w:t>
            </w:r>
          </w:p>
        </w:tc>
        <w:tc>
          <w:tcPr>
            <w:tcW w:w="11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39" w:type="dxa"/>
            <w:tcBorders/>
            <w:shd w:fill="FFFFFF" w:val="clear"/>
            <w:vAlign w:val="center"/>
          </w:tcPr>
          <w:p>
            <w:pPr>
              <w:pStyle w:val="TableContents"/>
              <w:bidi w:val="0"/>
              <w:spacing w:before="0" w:after="283"/>
              <w:jc w:val="right"/>
              <w:rPr/>
            </w:pPr>
            <w:r>
              <w:rPr/>
              <w:t> </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pPr>
            <w:r>
              <w:rPr/>
              <w:t>Basic and diluted loss per share</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39" w:type="dxa"/>
            <w:tcBorders>
              <w:bottom w:val="double" w:sz="10" w:space="0" w:color="000000"/>
            </w:tcBorders>
            <w:shd w:fill="CCEEFF" w:val="clear"/>
            <w:tcMar>
              <w:bottom w:w="28" w:type="dxa"/>
            </w:tcMar>
            <w:vAlign w:val="center"/>
          </w:tcPr>
          <w:p>
            <w:pPr>
              <w:pStyle w:val="TableContents"/>
              <w:bidi w:val="0"/>
              <w:spacing w:before="0" w:after="283"/>
              <w:jc w:val="right"/>
              <w:rPr/>
            </w:pPr>
            <w:r>
              <w:rPr/>
              <w:t>(1.6</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7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double" w:sz="10" w:space="0" w:color="000000"/>
            </w:tcBorders>
            <w:shd w:fill="CCEEFF" w:val="clear"/>
            <w:tcMar>
              <w:bottom w:w="28" w:type="dxa"/>
            </w:tcMar>
            <w:vAlign w:val="center"/>
          </w:tcPr>
          <w:p>
            <w:pPr>
              <w:pStyle w:val="TableContents"/>
              <w:bidi w:val="0"/>
              <w:spacing w:before="0" w:after="283"/>
              <w:jc w:val="right"/>
              <w:rPr/>
            </w:pPr>
            <w:r>
              <w:rPr/>
              <w:t>(0.6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six months ended June 30, 2026 and 2025, the total number of share options, warrants and convertible notes excluded from the calculation of diluted earnings per share due to their anti-dilutive nature, are 139,840.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(see Note 14), the Company issued Investor Warrants to purchase 200,000 Class A ordinary shares and Placement Agent Warrants to purchase 6,018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Investor Warrants was determined using a binomial option pricing model with the following inputs:</w:t>
      </w:r>
    </w:p>
    <w:p>
      <w:pPr>
        <w:pStyle w:val="TextBody"/>
        <w:bidi w:val="0"/>
        <w:spacing w:before="0" w:after="0"/>
        <w:ind w:left="0" w:right="0" w:firstLine="360"/>
        <w:jc w:val="both"/>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1895"/>
        <w:gridCol w:w="60"/>
        <w:gridCol w:w="140"/>
        <w:gridCol w:w="995"/>
        <w:gridCol w:w="215"/>
        <w:gridCol w:w="60"/>
        <w:gridCol w:w="295"/>
        <w:gridCol w:w="1180"/>
        <w:gridCol w:w="230"/>
      </w:tblGrid>
      <w:tr>
        <w:trPr/>
        <w:tc>
          <w:tcPr>
            <w:tcW w:w="1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23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7.8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20.0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20.0</w:t>
            </w:r>
          </w:p>
        </w:tc>
        <w:tc>
          <w:tcPr>
            <w:tcW w:w="23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1.43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r>
              <w:rPr/>
              <w:t>1.93 years</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4.07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3.48</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69.61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58.10</w:t>
            </w:r>
          </w:p>
        </w:tc>
        <w:tc>
          <w:tcPr>
            <w:tcW w:w="230" w:type="dxa"/>
            <w:tcBorders/>
            <w:shd w:fill="CCEEFF" w:val="clear"/>
            <w:vAlign w:val="center"/>
          </w:tcPr>
          <w:p>
            <w:pPr>
              <w:pStyle w:val="TableContents"/>
              <w:bidi w:val="0"/>
              <w:spacing w:before="0" w:after="283"/>
              <w:jc w:val="left"/>
              <w:rPr/>
            </w:pPr>
            <w:r>
              <w:rPr/>
              <w:t>%</w:t>
            </w:r>
          </w:p>
        </w:tc>
      </w:tr>
      <w:tr>
        <w:trPr/>
        <w:tc>
          <w:tcPr>
            <w:tcW w:w="1895" w:type="dxa"/>
            <w:tcBorders/>
            <w:shd w:fill="FFFFFF" w:val="clear"/>
            <w:vAlign w:val="center"/>
          </w:tcPr>
          <w:p>
            <w:pPr>
              <w:pStyle w:val="TableContents"/>
              <w:bidi w:val="0"/>
              <w:spacing w:before="0" w:after="283"/>
              <w:jc w:val="left"/>
              <w:rPr/>
            </w:pPr>
            <w:r>
              <w:rPr/>
              <w:t>Dividend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Dilution factor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Fair value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jc w:val="right"/>
              <w:rPr/>
            </w:pPr>
            <w:r>
              <w:rPr/>
              <w:t>0.71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1.53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was based on the historical volatility of comparable publicly traded companies. The Company recognized a gain of $163,000 on the change in fair value of the Investor Warrant liability for the six months ended June 30, 2026, included in “Change in fair value of warrant liability”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are exercisable immediately upon issuance and expire on the earlier of (i) 24 months from the effective date of a registration statement or (ii) October 10, 2030.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206,018 warrants outstanding to purchase Class A ordinary shares with a weighted-average exercise price of $20.1 and a weighted-average remaining contractual term of approximately 1.43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Contingent payment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Group does not have any non-cancellable purchase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are to be made upon achievements of certain conditions, such as Investigational New Drugs (“IND”) filing or U.S. Food and Drug Administration (“FDA”) approval, first commercial sale of the licensed products, or other achievements. The aggregate amount of the milestone payments that the Group is required to pay up to different achievements of conditions and milestones for all the license agreements signed as of June 30, 2026 are as below:</w:t>
      </w:r>
    </w:p>
    <w:p>
      <w:pPr>
        <w:pStyle w:val="TextBody"/>
        <w:bidi w:val="0"/>
        <w:spacing w:before="0" w:after="0"/>
        <w:ind w:left="0" w:right="0" w:firstLine="720"/>
        <w:jc w:val="both"/>
        <w:rPr>
          <w:caps w:val="false"/>
          <w:smallCaps w:val="false"/>
        </w:rPr>
      </w:pPr>
      <w:r>
        <w:rPr>
          <w:caps w:val="false"/>
          <w:smallCaps w:val="false"/>
        </w:rPr>
        <w:t> </w:t>
      </w:r>
    </w:p>
    <w:tbl>
      <w:tblPr>
        <w:tblW w:w="6879" w:type="dxa"/>
        <w:jc w:val="left"/>
        <w:tblInd w:w="0" w:type="dxa"/>
        <w:tblLayout w:type="fixed"/>
        <w:tblCellMar>
          <w:top w:w="0" w:type="dxa"/>
          <w:left w:w="0" w:type="dxa"/>
          <w:bottom w:w="0" w:type="dxa"/>
          <w:right w:w="0" w:type="dxa"/>
        </w:tblCellMar>
      </w:tblPr>
      <w:tblGrid>
        <w:gridCol w:w="5540"/>
        <w:gridCol w:w="60"/>
        <w:gridCol w:w="150"/>
        <w:gridCol w:w="1054"/>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b/>
              </w:rPr>
            </w:pPr>
            <w:r>
              <w:rPr>
                <w:b/>
              </w:rPr>
              <w:t>Drug molecules: up to the conditions and milestones of</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From entering phase 1 to before first commercial sale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920,000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First commercial sale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800,000</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Net sales amount more than certain threshold in a year</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8,720,000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Group incurred did not incur any milestone payments. For the six months ended June 30, 2026 and 2025, the Group did not incur any royalties or research and development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On May 30, 2025, Plaintiff filed her First Amended Complaint. The parties filed Joint Stipulation and Proposed Order Regarding Briefing Schedule ("Briefing Schedule") on June 9, 2025. The Court entered the Briefing Schedule on June 9, 2025, wherein the Company's motion to dismiss was due July 18, 2025, Plaintiff's opposition was due August 18, 2025, and Company's reply in support of its motion to dismiss was due September 8, 2025. The Company believes that Plaintiff’s claims are without merit and has filed a motion to dismiss the Complaint on July 18, 2025. Such motion is now fully briefed and is currently pending with the Court. As such, the Company will continue to vigorously defend against Plaintiff’s claims. The Court entered an order on July 27, 2026, setting a conference to discuss discovery. At this time, it is too early to estimate the costs and expenses of defending the lawsuit.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SUBSEQUENT EVENTS</w:t>
      </w:r>
    </w:p>
    <w:p>
      <w:pPr>
        <w:pStyle w:val="TextBody"/>
        <w:bidi w:val="0"/>
        <w:spacing w:before="0" w:after="0"/>
        <w:ind w:left="427" w:right="0" w:hanging="2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subsequent events through the date of issuance of the unaudited condensed consolidated financial statements. Except for the events disclosed elsewhere in the unaudited condensed financial statements and the following events with material financial impact on the Group’s unaudited condensed consolidated financial statement, no other subsequent event is identified that would have required adjustment or disclosure in the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merger between the Group and DiamiR Biosciences Corp. (“DiamiR”) closed and the Company changed the name from Aptorum Group Limited to Niki BioSolutions, Inc., as further described in Note 1. The merger is accounted for as a business combination using the acquisition method of accounting in accordance with ASC 805. The Group was identified as the accounting acquirer and legal acquirer based on an evaluation of the following facts and circumstances: (i) although after consummation of the merger, the current equity holders of the Group retaining 30% ownership interest of the combined company, pursuant to the shareholder agreement, Aptorum still has contractual rights which allow it to designate a majority of the Board of Directors until DiamiR’s voting interest is less than 25% of the combined entity or until the 2027 Annual Meeting; (ii) pursuant to the shareholder agreement, Aptorum has the power to appoint three of the five Directors, which is a majority of the Board of Directors; (iii) Aptorum’s CEO remains in place post-merger and continues to lead strategic initiatives, including business development and financing; (iv) Aptorum is historically larger size than DiamiR; (v) Aptorum initiated the merger and led negotiations and the merger aligns with Aptorum’s strategic goals and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management has not yet completed a fair value assessment of the identified assets acquired, and liabilities assumed, of DiamiR at the Closing Date. Accordingly, no estimate is currently made for any goodwill or bargain purchase gain that may be recognized in connection with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5" w:name="ea030254401ex99-2.htm"/>
      <w:bookmarkStart w:id="36" w:name="ksea030254401ex992"/>
      <w:bookmarkEnd w:id="35"/>
      <w:bookmarkEnd w:id="36"/>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AND FINANCIAL REVIEW AND PROSPECTS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CONNECTION WITH THE UNAUDITED INTERIM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in conjunction with our unaudited consolidated financial statements and the related notes included elsewhere in this Report on Form 6-K and with the discussion and analysis of our financial condition and results of operations contained in our Annual Report on Form 20-F for the fiscal year ended December 31, 2025 filed with the Securities and Exchange Commission on April 30, 2026 (the “2025 Form 20-F”). This discussion may contain forward-looking statements based upon current expectations that involve risks and uncertainties. Our actual results may differ materially from those anticipated in these forward-looking statements as a result of various factors, including those discussed in the 2025 Form 20-F under the section titled “Risk Factors” and in other parts of the 2025 Form 20-F. Our consolidated financial statements have been prepared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dedicated to the discovery, development and commercialization of therapeutic assets to treat diseases with unmet medical needs, particularly in oncology (including orphan oncology indications) and infectious diseases. The pipeline of Aptorum is also enriched through the co-development of Paths</w:t>
      </w:r>
      <w:r>
        <w:rPr>
          <w:rFonts w:ascii="Times New Roman;Times;Serif" w:hAnsi="Times New Roman;Times;Serif"/>
          <w:b w:val="false"/>
          <w:i w:val="false"/>
          <w:caps w:val="false"/>
          <w:smallCaps w:val="false"/>
          <w:position w:val="7"/>
          <w:sz w:val="16"/>
          <w:sz w:val="20"/>
        </w:rPr>
        <w:t>Dx</w:t>
      </w:r>
      <w:r>
        <w:rPr>
          <w:rFonts w:ascii="Times New Roman;Times;Serif" w:hAnsi="Times New Roman;Times;Serif"/>
          <w:b w:val="false"/>
          <w:i w:val="false"/>
          <w:caps w:val="false"/>
          <w:smallCaps w:val="false"/>
          <w:sz w:val="20"/>
        </w:rPr>
        <w:t xml:space="preserve"> Test, a novel molecular-based rapid pathogen identification and detection diagnostics technology with Accelerate Technologies Pte Ltd, commercialization arm of the Singapore’s Agency for Science, Technology and Research.</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evaluation of preliminary data and our consideration of a number of factors including substantial unmet needs, benefits over existing therapies, potential market size, competition in market, the Company decides how to prioritize its resources among projects. Overall, our rationale for selecting Lead Projects is not based on any mechanical formula or rigid selection criteria, but instead focused on a combination of the factors and individual attributes of the Lead Projects themselves.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is to develop a broad range of novel and repurposed therapeutics and diagnostics technology across a wide range of disease/therapeutic areas. Key components of our strategy for achieving this goal include: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therapeutic and diagnostic innovations across a wide range of disease/therapeutic areas;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Selectively expanding our portfolio with potential products that may be able to attain orphan drug designation and/or satisfy current unmet medical needs;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Collaborating with leading academic institutions and CROs;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Expanding our in-house pharmaceutical development center;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Leveraging our management’s expertise, experience and commercial networks;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38"/>
        <w:gridCol w:w="17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leveraging government grants to fund project development.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devoted a substantial portion of the proceeds from our offerings to our Lead Projects. Our Lead Projects are ALS-4, SACT-1 and Paths</w:t>
      </w:r>
      <w:r>
        <w:rPr>
          <w:rFonts w:ascii="Times New Roman;Times;Serif" w:hAnsi="Times New Roman;Times;Serif"/>
          <w:b w:val="false"/>
          <w:i w:val="false"/>
          <w:caps w:val="false"/>
          <w:smallCaps w:val="false"/>
          <w:position w:val="7"/>
          <w:sz w:val="16"/>
          <w:sz w:val="20"/>
        </w:rPr>
        <w:t>Dx</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2023, the Company made a decision to streamline its operations by terminating clinic services and suspending non-lead R&amp;D projects. This measure is aimed at optimizing the allocation of its resources and focusing its efforts on advancing lead projects, which hold the most promise for commercial success and beneficial impact. This decision aligns with the Company’s commitment to enhance shareholder value and effectively drive its core objectives forward in the competitive landscape.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Company filed a Notice of Removal in the U.S. District Court for the Southern District of New York (Case No.1:24-cv-09969-VSB-OTW) removing the State Court Action to federal court. On December 30, 2024, the Company filed a demand for service of the complaint on the Company. Plaintiff filed and served her Complaint on the Company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On May 30, 2025, Plaintiff filed her First Amended Complaint. The parties filed Joint Stipulation and Proposed Order Regarding Briefing Schedule ("Briefing Schedule") on June 9, 2025. The Court entered the Briefing Schedule on June 9, 2025, wherein the Company's motion to dismiss was due July 18, 2025, Plaintiff's opposition was due August 18, 2025, and Company's reply in support of its motion to dismiss was due September 8, 2025. The Company believes that Plaintiff’s claims are without merit and has filed a motion to dismiss the Complaint on July 18, 2025. Such motion is now fully briefed and is currently pending with the Court. As such, the Company will continue to vigorously defend against Plaintiff’s claims. The Court entered an order on July 27, 2026, setting a conference to discuss discovery. At this time, it is too early to estimate the costs and expenses of defending the lawsuit.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with DiamiR Biosciences Corp.</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Aptorum consummated its previously announced merger (the “Closing”) pursuant to that certain Agreement and Plan of Merger on July 14, 2025, (the “Merger Agreement”), between Aptorum and DiamiR Biosciences Corp., a Delaware corporation, pursuant to which, among other matters, Aptorum was to form a direct, wholly owned subsidiary in the state of Delaware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and filed Niki’s Certificate of Incorporation with the Delaware Secretary of State, which replaced Aptorum’s memorandum and articles in effect as of such time. In connection with the Merger, the Company’s common stock, par value $0.0001 per share (the “Niki Common Stock”), trades on Nasdaq under the symbol “NIKI”. In connection with the name change, the CUSIP number for the Niki Common Stock is 653942 102.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each then issued and outstanding Class A ordinary share of Aptorum converted automatically, on a one-for-one basis, into a share of Niki’s common stock, par value $0.0001 per share, and each then issued and outstanding Class B ordinary share of Aptorum converted automatically into a share of Niki Common Stock and a share of Niki’s non-voting and non-convertible Series A preferred stock (the “Series A Preferred Stock”). Accordingly, a total of 814,375 shares of Niki Common Stock and 179,693 shares of Series A Preferred Stock, respectively, were issued to Aptorum’s existing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each then-outstanding share of DiamiR’s common stock were converted into a number of shares of Niki Common Stock equal to the Conversion Ratio, which was the number resulting from dividing (i) 0.4102, which is the quotient of dividing the total number of Aptorum ordinary shares on a fully diluted basis by the total number of shares of DiamiR common stock on a fully diluted basis, by (ii) three-seventh (3/7). Accordingly, a total of 1,979,216 shares of Niki Common Stock were issued to current stockholders of DiamiR; no shares of Series A Preferred Stock was issued to any current DiamiR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Limited, a wholly owned subsidiary of Aptorum (“Aptorum Therapeutics”), entered into a management services agreement (as amended, the “Management Services Agreement”), which terminated as of the closing of the transaction contemplated by the Merger Agreement. In addition, concurrently with the execution of the Merger Agreement, DiamiR, DiamiR, LLC, a wholly owned subsidiary of DiamiR, Aptorum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July 31, 2026, and therefore it terminated as of the Closing. The parties also entered into a Voting and Support Agreement, as well as a Stockholder Agreement (collectively with the Management Services Agreement and Licensing Agreement, the “Transaction Documents”), pursuant to which certain parties agreed to vote in favor of certain corporate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merger between the Group and DiamiR Biosciences Corp. (“DiamiR”) has been closed and the Company has changed the name from Aptorum Group Limited to Niki BioSolutions, Inc. The merger is accounted for as a business combination using the acquisition method of accounting in accordance with ASC 805. The Group was identified as the accounting acquirer and legal acquirer based on an evaluation of the following facts and circumstances: (i) although after consummation of the merger, the current equity holders of the Group retaining 30% ownership interest of the combined company, pursuant to the shareholder agreement, Aptorum still has contractual rights which allow it to designate a majority of the Board of Directors until DiamiR’s voting interest is less than 25% of the combined entity or until the 2027 Annual Meeting; (ii) pursuant to the shareholder agreement, Aptorum has the power to appoint three of the five Directors, which is a majority of the Board of Directors; (iii) Aptorum’s CEO remains in place post-merger and continues to lead strategic initiatives, including business development and financing; (iv) Aptorum is historically larger size than DiamiR; (v) Aptorum initiated the merger and led negotiations and the merger aligns with Aptorum’s strategic goals and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About DiamiR</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was incorporated in Delaware on June 16, 2014, and primarily operates through its wholly owned subsidiary, DiamiR, LLC, which was incorporated as a limited liability company in Delaware on September 17, 2009. DiamiR is a molecular diagnostics company focused on developing and commercializing minimally invasive tests for early detection and monitoring of neurodegenerative diseases, such as mild cognitive impairment and Alzheimer’s disease, rare neurodevelopmental diseases, such as Rett syndrome, other brain health disorders, and cancer. The proprietary platform technology developed at DiamiR and protected by over 50 issued patents is based on quantitative analysis of organ-enriched microRNAs detectable in blood plasma. In addition to blood-based microRNA panels, as part of its biopharma services </w:t>
      </w:r>
      <w:r>
        <w:rPr>
          <w:rFonts w:ascii="Times New Roman;Times;Serif" w:hAnsi="Times New Roman;Times;Serif"/>
          <w:b w:val="false"/>
          <w:i w:val="false"/>
          <w:caps w:val="false"/>
          <w:smallCaps w:val="false"/>
          <w:sz w:val="20"/>
          <w:shd w:fill="FFFFFF" w:val="clear"/>
        </w:rPr>
        <w:t>DiamiR’s CLIA/CAP-certified laboratory offers protein and genetic biomarker analyses </w:t>
      </w:r>
      <w:r>
        <w:rPr>
          <w:rFonts w:ascii="Times New Roman;Times;Serif" w:hAnsi="Times New Roman;Times;Serif"/>
          <w:b w:val="false"/>
          <w:i w:val="false"/>
          <w:caps w:val="false"/>
          <w:smallCaps w:val="false"/>
          <w:sz w:val="20"/>
        </w:rPr>
        <w:t>for screening, patient stratification, disease and treatment monitoring.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Factors Affecting our Results of Operations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ability to successfully develop innovative drug candidates will be the primary factor affecting our long-term competitiveness, as well as our future growth and development. Creating high quality global first-in-class or best-in-class drug candidates requires significant investment of resources over a prolonged period of time. As a result of this commitment, our pipeline of drug candidates has been steadily advancing.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candidates are still in development, and we have incurred and will continue to incur significant research and development costs for pre-clinical studies and clinical trials. We expect that our research and development expenses may significantly increase in future periods in line with the advancement and expansion of the development of our drug candidates.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able to fund the research and development expenses for our drug candidates through a range of sources, including the proceeds raised from our public offering and follow-on offerings on Nasdaq, private placement to other investors and line of credit facilities from shareholders, related parties and banks.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diversified approach to funding allows us to not depend on any one method of funding for our research and development activities, thereby reducing the risk that sufficient financing will be unavailable as we continue to accelerate the development of our drug candidates.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w:t>
      </w:r>
    </w:p>
    <w:p>
      <w:pPr>
        <w:pStyle w:val="TextBody"/>
        <w:bidi w:val="0"/>
        <w:spacing w:before="0" w:after="0"/>
        <w:ind w:left="709"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4985"/>
        <w:gridCol w:w="60"/>
        <w:gridCol w:w="153"/>
        <w:gridCol w:w="1153"/>
        <w:gridCol w:w="103"/>
        <w:gridCol w:w="65"/>
        <w:gridCol w:w="172"/>
        <w:gridCol w:w="1077"/>
        <w:gridCol w:w="110"/>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2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center"/>
              <w:rPr>
                <w:b/>
              </w:rPr>
            </w:pPr>
            <w:r>
              <w:rPr>
                <w:b/>
              </w:rPr>
              <w:t>(Unaudited)</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1306"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985"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(383,752</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(19,375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985"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(427,567</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(187,422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985"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(547,131</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(418,881</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985" w:type="dxa"/>
            <w:tcBorders/>
            <w:shd w:fill="FFFFFF" w:val="clear"/>
            <w:vAlign w:val="center"/>
          </w:tcPr>
          <w:p>
            <w:pPr>
              <w:pStyle w:val="TableContents"/>
              <w:bidi w:val="0"/>
              <w:spacing w:before="0" w:after="283"/>
              <w:jc w:val="left"/>
              <w:rPr/>
            </w:pPr>
            <w:r>
              <w:rPr/>
              <w:t>Other operating (expenses) income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(56,110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222,912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98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(1,414,560</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(402,766</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985" w:type="dxa"/>
            <w:tcBorders/>
            <w:shd w:fill="CCEEFF" w:val="clear"/>
            <w:vAlign w:val="center"/>
          </w:tcPr>
          <w:p>
            <w:pPr>
              <w:pStyle w:val="TableContents"/>
              <w:bidi w:val="0"/>
              <w:spacing w:before="0" w:after="283"/>
              <w:jc w:val="left"/>
              <w:rPr>
                <w:b/>
              </w:rPr>
            </w:pPr>
            <w:r>
              <w:rPr>
                <w:b/>
              </w:rPr>
              <w:t>Other income (expenses)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85" w:type="dxa"/>
            <w:tcBorders/>
            <w:shd w:fill="FFFFFF" w:val="clear"/>
            <w:vAlign w:val="center"/>
          </w:tcPr>
          <w:p>
            <w:pPr>
              <w:pStyle w:val="TableContents"/>
              <w:bidi w:val="0"/>
              <w:spacing w:before="0" w:after="283"/>
              <w:jc w:val="left"/>
              <w:rPr/>
            </w:pPr>
            <w:r>
              <w:rPr/>
              <w:t>Interest expense,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(56,740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(46,529</w:t>
            </w:r>
          </w:p>
        </w:tc>
        <w:tc>
          <w:tcPr>
            <w:tcW w:w="110" w:type="dxa"/>
            <w:tcBorders/>
            <w:shd w:fill="FFFFFF" w:val="clear"/>
            <w:vAlign w:val="center"/>
          </w:tcPr>
          <w:p>
            <w:pPr>
              <w:pStyle w:val="TableContents"/>
              <w:bidi w:val="0"/>
              <w:spacing w:before="0" w:after="283"/>
              <w:jc w:val="left"/>
              <w:rPr/>
            </w:pPr>
            <w:r>
              <w:rPr/>
              <w:t>)</w:t>
            </w:r>
          </w:p>
        </w:tc>
      </w:tr>
      <w:tr>
        <w:trPr/>
        <w:tc>
          <w:tcPr>
            <w:tcW w:w="4985"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pPr>
            <w:r>
              <w:rPr/>
              <w:t>164,000</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985" w:type="dxa"/>
            <w:tcBorders/>
            <w:shd w:fill="FFFFFF" w:val="clear"/>
            <w:vAlign w:val="center"/>
          </w:tcPr>
          <w:p>
            <w:pPr>
              <w:pStyle w:val="TableContents"/>
              <w:bidi w:val="0"/>
              <w:spacing w:before="0" w:after="283"/>
              <w:jc w:val="left"/>
              <w:rPr/>
            </w:pPr>
            <w:r>
              <w:rPr/>
              <w:t>Total other income (expenses), net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107,260</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(46,529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9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 </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98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w:t>
            </w:r>
          </w:p>
        </w:tc>
        <w:tc>
          <w:tcPr>
            <w:tcW w:w="1153" w:type="dxa"/>
            <w:tcBorders/>
            <w:shd w:fill="FFFFFF" w:val="clear"/>
            <w:vAlign w:val="center"/>
          </w:tcPr>
          <w:p>
            <w:pPr>
              <w:pStyle w:val="TableContents"/>
              <w:bidi w:val="0"/>
              <w:spacing w:before="0" w:after="283"/>
              <w:jc w:val="right"/>
              <w:rPr/>
            </w:pPr>
            <w:r>
              <w:rPr/>
              <w:t>(1,307,300</w:t>
            </w:r>
          </w:p>
        </w:tc>
        <w:tc>
          <w:tcPr>
            <w:tcW w:w="10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(449,295</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985" w:type="dxa"/>
            <w:tcBorders/>
            <w:shd w:fill="CCEEFF" w:val="clear"/>
            <w:vAlign w:val="center"/>
          </w:tcPr>
          <w:p>
            <w:pPr>
              <w:pStyle w:val="TableContents"/>
              <w:bidi w:val="0"/>
              <w:spacing w:before="0" w:after="283"/>
              <w:jc w:val="left"/>
              <w:rPr/>
            </w:pPr>
            <w:r>
              <w:rPr/>
              <w:t>Less: 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18,704</w:t>
            </w:r>
          </w:p>
        </w:tc>
        <w:tc>
          <w:tcPr>
            <w:tcW w:w="10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(7,515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9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3"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7"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985" w:type="dxa"/>
            <w:tcBorders/>
            <w:shd w:fill="CCEEFF" w:val="clear"/>
            <w:vAlign w:val="center"/>
          </w:tcPr>
          <w:p>
            <w:pPr>
              <w:pStyle w:val="TableContents"/>
              <w:bidi w:val="0"/>
              <w:spacing w:before="0" w:after="283"/>
              <w:jc w:val="left"/>
              <w:rPr>
                <w:b/>
              </w:rPr>
            </w:pPr>
            <w:r>
              <w:rPr>
                <w:b/>
              </w:rPr>
              <w:t>Net loss attributable to Niki BioSolutions, Inc.</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53" w:type="dxa"/>
            <w:tcBorders>
              <w:bottom w:val="single" w:sz="12" w:space="0" w:color="000000"/>
            </w:tcBorders>
            <w:shd w:fill="CCEEFF" w:val="clear"/>
            <w:tcMar>
              <w:bottom w:w="28" w:type="dxa"/>
            </w:tcMar>
            <w:vAlign w:val="center"/>
          </w:tcPr>
          <w:p>
            <w:pPr>
              <w:pStyle w:val="TableContents"/>
              <w:bidi w:val="0"/>
              <w:spacing w:before="0" w:after="283"/>
              <w:jc w:val="right"/>
              <w:rPr/>
            </w:pPr>
            <w:r>
              <w:rPr/>
              <w:t>(1,326,004</w:t>
            </w:r>
          </w:p>
        </w:tc>
        <w:tc>
          <w:tcPr>
            <w:tcW w:w="10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077" w:type="dxa"/>
            <w:tcBorders>
              <w:bottom w:val="single" w:sz="12" w:space="0" w:color="000000"/>
            </w:tcBorders>
            <w:shd w:fill="CCEEFF" w:val="clear"/>
            <w:tcMar>
              <w:bottom w:w="28" w:type="dxa"/>
            </w:tcM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09"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Revenue and cost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revenue and cost for both period due to reallocate resources towards the development of the Company’s leading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comprised of costs incurred related to research and development activities, including payroll expenses to our research and development staff, service fees to our consultants, advisory and contracted research organization, and amortization of licensed patents, sponsored research programs with various universities and research institutions and costs in acquiring IP rights which did not meet the criteria of capitalization under the U.S. GAAP. The following table sets forth a summary of our research and development expenses for the six months ended June 30, 2026 and 2025. The increase in research and development expenses compared to the six months ended June 30, 2025 was primarily attributable to expenses incurred in connection with the Management Services Agreement and Licensing Agreement entered into concurrently with the Merger Agreement. Under the Management Services Agreement, DiamiR and Aptorum Therapeutics entered into arrangements for management services, and under the Licensing Agreement, DiamiR and DiamiR, LLC licensed certain intellectual property to Aptorum Therapeutics on a non-exclusive basis in exchange for upfront and periodic payments and royalties. These agreements terminated upon the closing of the Merger. Accordingly, substantially all R&amp;D expenses for the six months ended June 30, 2026 related to DiamiR, and other R&amp;D activities remained suspended as the Company focused its attention and resources on completing the Merger.</w:t>
      </w:r>
    </w:p>
    <w:p>
      <w:pPr>
        <w:pStyle w:val="TextBody"/>
        <w:bidi w:val="0"/>
        <w:spacing w:before="0" w:after="0"/>
        <w:ind w:left="0" w:right="0" w:firstLine="720"/>
        <w:jc w:val="both"/>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3545"/>
        <w:gridCol w:w="60"/>
        <w:gridCol w:w="81"/>
        <w:gridCol w:w="938"/>
        <w:gridCol w:w="81"/>
        <w:gridCol w:w="81"/>
        <w:gridCol w:w="87"/>
        <w:gridCol w:w="922"/>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six months ended</w:t>
              <w:br/>
              <w:t>June 30,</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vAlign w:val="center"/>
          </w:tcPr>
          <w:p>
            <w:pPr>
              <w:pStyle w:val="TableContents"/>
              <w:bidi w:val="0"/>
              <w:spacing w:before="0" w:after="283"/>
              <w:jc w:val="left"/>
              <w:rPr/>
            </w:pPr>
            <w:r>
              <w:rPr/>
              <w:t> </w:t>
            </w:r>
          </w:p>
        </w:tc>
        <w:tc>
          <w:tcPr>
            <w:tcW w:w="1019" w:type="dxa"/>
            <w:gridSpan w:val="2"/>
            <w:tcBorders/>
            <w:vAlign w:val="center"/>
          </w:tcPr>
          <w:p>
            <w:pPr>
              <w:pStyle w:val="TableContents"/>
              <w:bidi w:val="0"/>
              <w:spacing w:before="0" w:after="283"/>
              <w:jc w:val="righ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DiamiR management services expenses </w:t>
            </w:r>
          </w:p>
        </w:tc>
        <w:tc>
          <w:tcPr>
            <w:tcW w:w="60" w:type="dxa"/>
            <w:tcBorders/>
            <w:shd w:fill="CCEEFF" w:val="clear"/>
            <w:vAlign w:val="center"/>
          </w:tcPr>
          <w:p>
            <w:pPr>
              <w:pStyle w:val="TableContents"/>
              <w:bidi w:val="0"/>
              <w:spacing w:before="0" w:after="283"/>
              <w:jc w:val="left"/>
              <w:rPr/>
            </w:pPr>
            <w:r>
              <w:rPr/>
              <w:t> </w:t>
            </w:r>
          </w:p>
        </w:tc>
        <w:tc>
          <w:tcPr>
            <w:tcW w:w="1019" w:type="dxa"/>
            <w:gridSpan w:val="2"/>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376,552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09" w:type="dxa"/>
            <w:gridSpan w:val="2"/>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DiamiR licensing expenses</w:t>
            </w:r>
          </w:p>
        </w:tc>
        <w:tc>
          <w:tcPr>
            <w:tcW w:w="60" w:type="dxa"/>
            <w:tcBorders/>
            <w:shd w:fill="FFFFFF" w:val="clear"/>
            <w:vAlign w:val="center"/>
          </w:tcPr>
          <w:p>
            <w:pPr>
              <w:pStyle w:val="TableContents"/>
              <w:bidi w:val="0"/>
              <w:spacing w:before="0" w:after="283"/>
              <w:jc w:val="left"/>
              <w:rPr/>
            </w:pPr>
            <w:r>
              <w:rPr/>
              <w:t> </w:t>
            </w:r>
          </w:p>
        </w:tc>
        <w:tc>
          <w:tcPr>
            <w:tcW w:w="1019" w:type="dxa"/>
            <w:gridSpan w:val="2"/>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7,200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R&amp;D expenses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19,375 </w:t>
            </w:r>
          </w:p>
        </w:tc>
        <w:tc>
          <w:tcPr>
            <w:tcW w:w="75" w:type="dxa"/>
            <w:tcBorders/>
            <w:shd w:fill="CCEEFF" w:val="clear"/>
            <w:vAlign w:val="center"/>
          </w:tcPr>
          <w:p>
            <w:pPr>
              <w:pStyle w:val="TableContents"/>
              <w:bidi w:val="0"/>
              <w:spacing w:before="0" w:after="283"/>
              <w:jc w:val="left"/>
              <w:rPr/>
            </w:pPr>
            <w:r>
              <w:rPr/>
              <w:t> </w:t>
            </w:r>
          </w:p>
        </w:tc>
      </w:tr>
      <w:tr>
        <w:trPr/>
        <w:tc>
          <w:tcPr>
            <w:tcW w:w="35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Research and Development Expenses</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938"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383,752</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7" w:type="dxa"/>
            <w:tcBorders>
              <w:bottom w:val="double" w:sz="12" w:space="0" w:color="000000"/>
            </w:tcBorders>
            <w:shd w:fill="FFFFFF" w:val="clear"/>
            <w:tcMar>
              <w:bottom w:w="28" w:type="dxa"/>
            </w:tcMar>
            <w:vAlign w:val="center"/>
          </w:tcPr>
          <w:p>
            <w:pPr>
              <w:pStyle w:val="TableContents"/>
              <w:bidi w:val="0"/>
              <w:spacing w:before="0" w:after="283"/>
              <w:jc w:val="left"/>
              <w:rPr/>
            </w:pPr>
            <w:r>
              <w:rPr/>
              <w:t> </w:t>
            </w:r>
          </w:p>
        </w:tc>
        <w:tc>
          <w:tcPr>
            <w:tcW w:w="922" w:type="dxa"/>
            <w:tcBorders>
              <w:bottom w:val="doub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570"/>
        <w:gridCol w:w="60"/>
        <w:gridCol w:w="192"/>
        <w:gridCol w:w="1100"/>
        <w:gridCol w:w="82"/>
        <w:gridCol w:w="82"/>
        <w:gridCol w:w="212"/>
        <w:gridCol w:w="1037"/>
        <w:gridCol w:w="75"/>
      </w:tblGrid>
      <w:tr>
        <w:trPr/>
        <w:tc>
          <w:tcPr>
            <w:tcW w:w="25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center"/>
              <w:rPr>
                <w:b/>
              </w:rPr>
            </w:pPr>
            <w:r>
              <w:rPr>
                <w:b/>
              </w:rPr>
              <w:t>(Unaudited)</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R&amp;D expenses by projects</w:t>
            </w:r>
          </w:p>
        </w:tc>
        <w:tc>
          <w:tcPr>
            <w:tcW w:w="60" w:type="dxa"/>
            <w:tcBorders/>
            <w:vAlign w:val="center"/>
          </w:tcPr>
          <w:p>
            <w:pPr>
              <w:pStyle w:val="TableContents"/>
              <w:bidi w:val="0"/>
              <w:spacing w:before="0" w:after="283"/>
              <w:jc w:val="left"/>
              <w:rPr/>
            </w:pPr>
            <w:r>
              <w:rPr/>
              <w:t> </w:t>
            </w:r>
          </w:p>
        </w:tc>
        <w:tc>
          <w:tcPr>
            <w:tcW w:w="1292"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both"/>
              <w:rPr/>
            </w:pPr>
            <w:r>
              <w:rPr/>
              <w:t>ALS-4</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1037" w:type="dxa"/>
            <w:tcBorders/>
            <w:shd w:fill="CCEEFF" w:val="clear"/>
            <w:vAlign w:val="center"/>
          </w:tcPr>
          <w:p>
            <w:pPr>
              <w:pStyle w:val="TableContents"/>
              <w:bidi w:val="0"/>
              <w:spacing w:before="0" w:after="283"/>
              <w:jc w:val="right"/>
              <w:rPr/>
            </w:pPr>
            <w:r>
              <w:rPr/>
              <w:t>4,301</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SACT-1</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15,074</w:t>
            </w:r>
          </w:p>
        </w:tc>
        <w:tc>
          <w:tcPr>
            <w:tcW w:w="7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both"/>
              <w:rPr/>
            </w:pPr>
            <w:r>
              <w:rPr/>
              <w:t>Other projects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383,752</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1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383,752</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12"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37" w:type="dxa"/>
            <w:tcBorders>
              <w:bottom w:val="double" w:sz="10" w:space="0" w:color="000000"/>
            </w:tcBorders>
            <w:shd w:fill="FFFFFF" w:val="clear"/>
            <w:tcMar>
              <w:bottom w:w="28" w:type="dxa"/>
            </w:tcMar>
            <w:vAlign w:val="center"/>
          </w:tcPr>
          <w:p>
            <w:pPr>
              <w:pStyle w:val="TableContents"/>
              <w:bidi w:val="0"/>
              <w:spacing w:before="0" w:after="283"/>
              <w:jc w:val="right"/>
              <w:rPr/>
            </w:pPr>
            <w:r>
              <w:rPr/>
              <w:t>19,375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general and administrative fees for the six months ended June 30, 2026 and 2025. General and administrative expenses increased for the six months ended June 30, 2026 compared to the corresponding period in 2025, primarily due to management service fees and other administrative costs incurred under the Management Services Agreement in connection with preparation for the Merger.</w:t>
      </w:r>
    </w:p>
    <w:p>
      <w:pPr>
        <w:pStyle w:val="TextBody"/>
        <w:bidi w:val="0"/>
        <w:spacing w:before="0" w:after="0"/>
        <w:ind w:left="0" w:right="0" w:firstLine="720"/>
        <w:jc w:val="both"/>
        <w:rPr>
          <w:caps w:val="false"/>
          <w:smallCaps w:val="false"/>
        </w:rPr>
      </w:pPr>
      <w:r>
        <w:rPr>
          <w:caps w:val="false"/>
          <w:smallCaps w:val="false"/>
        </w:rPr>
        <w:t> </w:t>
      </w:r>
    </w:p>
    <w:tbl>
      <w:tblPr>
        <w:tblW w:w="6557" w:type="dxa"/>
        <w:jc w:val="left"/>
        <w:tblInd w:w="0" w:type="dxa"/>
        <w:tblLayout w:type="fixed"/>
        <w:tblCellMar>
          <w:top w:w="0" w:type="dxa"/>
          <w:left w:w="0" w:type="dxa"/>
          <w:bottom w:w="0" w:type="dxa"/>
          <w:right w:w="0" w:type="dxa"/>
        </w:tblCellMar>
      </w:tblPr>
      <w:tblGrid>
        <w:gridCol w:w="3770"/>
        <w:gridCol w:w="60"/>
        <w:gridCol w:w="185"/>
        <w:gridCol w:w="1064"/>
        <w:gridCol w:w="77"/>
        <w:gridCol w:w="77"/>
        <w:gridCol w:w="185"/>
        <w:gridCol w:w="1064"/>
        <w:gridCol w:w="75"/>
      </w:tblGrid>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pPr>
            <w:r>
              <w:rPr/>
              <w:t>General and Administrative Fees:</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81,376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103,609</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Rent and rates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88,236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63,016</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Payroll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19,057</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Travelling expenses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1,740</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DiamiR management services expenses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253,448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70"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4,507</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70" w:type="dxa"/>
            <w:tcBorders/>
            <w:shd w:fill="CCEEFF" w:val="clear"/>
            <w:vAlign w:val="center"/>
          </w:tcPr>
          <w:p>
            <w:pPr>
              <w:pStyle w:val="TableContents"/>
              <w:bidi w:val="0"/>
              <w:spacing w:before="0" w:after="283"/>
              <w:jc w:val="left"/>
              <w:rPr/>
            </w:pPr>
            <w:r>
              <w:rPr/>
              <w:t>Total General and Administrative Fees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427,567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double" w:sz="10" w:space="0" w:color="000000"/>
            </w:tcBorders>
            <w:shd w:fill="CCEEFF" w:val="clear"/>
            <w:tcMar>
              <w:bottom w:w="28" w:type="dxa"/>
            </w:tcMar>
            <w:vAlign w:val="center"/>
          </w:tcPr>
          <w:p>
            <w:pPr>
              <w:pStyle w:val="TableContents"/>
              <w:bidi w:val="0"/>
              <w:spacing w:before="0" w:after="283"/>
              <w:jc w:val="right"/>
              <w:rPr/>
            </w:pPr>
            <w:r>
              <w:rPr/>
              <w:t>187,422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and professional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legal and professional fees were $547,131 and $418,881, respectively. The increase in legal and professional fees was primarily attributed to the non-routine activities such as potential merger activity that were present in the same period last year. Such non-routine exercises in the current period have resulted in an increase in legal and professional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operating (expenses)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operating expenses of $56,110 for the six months ended June 30, 2026 and the other operating income of $222,912 for the six months ended June 30, 2025 mainly represent the exchange gain arising on change in foreign exchange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income of $107,260 for the six months ended June 30, 2026 mainly represented the gain from change in fair value of warrant liability, and the other expenses of $45,529 for the six months ended June 30, 2025 represented 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attributable to Niki BioSolutions,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net loss attributable to Niki BioSolutions, Inc. (excluding net loss attributable to non-controlling interests) was $1,326,004 and $441,780,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reported a net loss of $1,307,300, negative working capital of $2,475,418, and net operating cash outflow of $1,553,720 for the six months ended June 30, 2026. In addition, the Group had an accumulated deficit of $75,118,802 as of June 30, 2026.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Following the completion of the merger with DiamiR in July 2026, management’s going concern assessment also considered DiamiR’s financial condition and cash flow forecast as part of the Group’s liquidity analysis for the twelve months following the issuance of these unaudited condensed consolidated financial statements. DiamiR has a limited operating history, has incurred recurring net losses and negative operating cash flows, and its standalone financial statements indicate that its existing capital is not expected to be sufficient to fund its operations for the next twelve months without additional financing. Successful transition to attaining profitable operations is dependent upon achieving a level of revenues adequate to support the Company’s cost structure.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these financial statements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is unable to generate sufficient funds to finance the working capital requirements of the Group within the normal operating cycle of a twelve-month period from the date of these financial statements are issued, the Group may have to consider supplementing its available sources of funds through the following sources:</w:t>
      </w:r>
    </w:p>
    <w:p>
      <w:pPr>
        <w:pStyle w:val="TextBody"/>
        <w:bidi w:val="0"/>
        <w:spacing w:before="0" w:after="0"/>
        <w:ind w:left="0" w:right="0" w:hanging="0"/>
        <w:jc w:val="both"/>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8"/>
        <w:gridCol w:w="17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available sources of financing from banks and other financial institutions or private lender; and</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financing.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can make no assurances that required financings will be available for the amounts needed, or on terms commercially acceptable to the Company, if at all. If one or all of these events does not occur or subsequent capital raises are insufficient to bridge financial and liquidity shortfall, there would likely be a material adverse effect on the Company and would materially adversely affect its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condensed consolidated financial statements do not include any adjustments that might result from the outcome of this uncertainty. Accordingly, the unaudited condensed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June 30, 2026.</w:t>
      </w:r>
    </w:p>
    <w:p>
      <w:pPr>
        <w:pStyle w:val="TextBody"/>
        <w:bidi w:val="0"/>
        <w:spacing w:before="0" w:after="0"/>
        <w:ind w:left="0" w:right="0" w:firstLine="60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1595"/>
        <w:gridCol w:w="60"/>
        <w:gridCol w:w="81"/>
        <w:gridCol w:w="1332"/>
        <w:gridCol w:w="81"/>
        <w:gridCol w:w="81"/>
        <w:gridCol w:w="81"/>
        <w:gridCol w:w="1332"/>
        <w:gridCol w:w="81"/>
        <w:gridCol w:w="81"/>
        <w:gridCol w:w="441"/>
        <w:gridCol w:w="703"/>
        <w:gridCol w:w="81"/>
        <w:gridCol w:w="81"/>
        <w:gridCol w:w="378"/>
        <w:gridCol w:w="601"/>
        <w:gridCol w:w="75"/>
      </w:tblGrid>
      <w:tr>
        <w:trPr/>
        <w:tc>
          <w:tcPr>
            <w:tcW w:w="1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4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Payment Due by Period (Unaudited)</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less than</w:t>
              <w:br/>
              <w:t>one year</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One to</w:t>
              <w:br/>
              <w:t>three years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Three to</w:t>
              <w:br/>
              <w:t>five years</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4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pPr>
            <w:r>
              <w:rPr/>
              <w:t>Debt obligations</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center"/>
          </w:tcPr>
          <w:p>
            <w:pPr>
              <w:pStyle w:val="TableContents"/>
              <w:bidi w:val="0"/>
              <w:spacing w:before="0" w:after="283"/>
              <w:jc w:val="right"/>
              <w:rPr/>
            </w:pPr>
            <w:r>
              <w:rPr/>
              <w:t>3,508,500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32" w:type="dxa"/>
            <w:tcBorders>
              <w:bottom w:val="single" w:sz="12" w:space="0" w:color="000000"/>
            </w:tcBorders>
            <w:shd w:fill="CCEEFF" w:val="clear"/>
            <w:tcMar>
              <w:bottom w:w="28" w:type="dxa"/>
            </w:tcMar>
            <w:vAlign w:val="center"/>
          </w:tcPr>
          <w:p>
            <w:pPr>
              <w:pStyle w:val="TableContents"/>
              <w:bidi w:val="0"/>
              <w:spacing w:before="0" w:after="283"/>
              <w:jc w:val="right"/>
              <w:rPr/>
            </w:pPr>
            <w:r>
              <w:rPr/>
              <w:t>3,508,500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4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1"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double" w:sz="10" w:space="0" w:color="000000"/>
            </w:tcBorders>
            <w:shd w:fill="FFFFFF" w:val="clear"/>
            <w:tcMar>
              <w:bottom w:w="28" w:type="dxa"/>
            </w:tcMar>
            <w:vAlign w:val="center"/>
          </w:tcPr>
          <w:p>
            <w:pPr>
              <w:pStyle w:val="TableContents"/>
              <w:bidi w:val="0"/>
              <w:spacing w:before="0" w:after="283"/>
              <w:jc w:val="right"/>
              <w:rPr/>
            </w:pPr>
            <w:r>
              <w:rPr/>
              <w:t>3,508,500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32" w:type="dxa"/>
            <w:tcBorders>
              <w:bottom w:val="double" w:sz="10" w:space="0" w:color="000000"/>
            </w:tcBorders>
            <w:shd w:fill="FFFFFF" w:val="clear"/>
            <w:tcMar>
              <w:bottom w:w="28" w:type="dxa"/>
            </w:tcMar>
            <w:vAlign w:val="center"/>
          </w:tcPr>
          <w:p>
            <w:pPr>
              <w:pStyle w:val="TableContents"/>
              <w:bidi w:val="0"/>
              <w:spacing w:before="0" w:after="283"/>
              <w:jc w:val="right"/>
              <w:rPr/>
            </w:pPr>
            <w:r>
              <w:rPr/>
              <w:t>3,508,500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44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0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6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obligations reflect outstanding principal and accrued interest payable to Jurchen Investment Corporation, the largest shareholder of the Company, pursuant to a convertible note arrangement. This instrument features a conversion option at a price of $2.42 per share into the Company’s Class A Ordinary Shares. It carries a two-year maturity from the date of issuance and bears an annual interest rate of 6%. On September 11, 2025 upon the maturity of the convertible note, the Group entered into an extension agreement with Jurchen Investment Corporation to extend the convertible note further for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 access up to a total $12 million under a line of credit offered by Aeneas Group Limited. The line of credit was originally mature on August 12, 2022. The Group and Aeneas Group Limited has mutually agreed to extend the line of credit arrangement further 3 years to August 12, 2026, and the respective credit line have been extended further to August 2026. The interest on the outstanding principal indebtedness is at the rate of 8% per annum. The Group may early repay, in whole or in part, the principal indebtedness and all interest accrued at any time prior to the maturity date without the prior written consent of the lender and without payment of any premium or penalty.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CONTINGENT PAYMENT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do not have any non-cancellable purchase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are to be made upon achievements of certain conditions, such as Investigational New Drugs (“IND”) filing or U.S. Food and Drug Administration (“FDA”) approval, first commercial sale of the licensed products, or other achievements. The aggregate amount of the milestone payments that we are required to pay up to different achievements of conditions and milestones for all the license agreements signed as of June 30, 2026 are as below:</w:t>
      </w:r>
    </w:p>
    <w:p>
      <w:pPr>
        <w:pStyle w:val="TextBody"/>
        <w:bidi w:val="0"/>
        <w:spacing w:before="0" w:after="0"/>
        <w:ind w:left="0" w:right="0" w:firstLine="720"/>
        <w:jc w:val="both"/>
        <w:rPr>
          <w:caps w:val="false"/>
          <w:smallCaps w:val="false"/>
        </w:rPr>
      </w:pPr>
      <w:r>
        <w:rPr>
          <w:caps w:val="false"/>
          <w:smallCaps w:val="false"/>
        </w:rPr>
        <w:t> </w:t>
      </w:r>
    </w:p>
    <w:tbl>
      <w:tblPr>
        <w:tblW w:w="6879" w:type="dxa"/>
        <w:jc w:val="left"/>
        <w:tblInd w:w="0" w:type="dxa"/>
        <w:tblLayout w:type="fixed"/>
        <w:tblCellMar>
          <w:top w:w="0" w:type="dxa"/>
          <w:left w:w="0" w:type="dxa"/>
          <w:bottom w:w="0" w:type="dxa"/>
          <w:right w:w="0" w:type="dxa"/>
        </w:tblCellMar>
      </w:tblPr>
      <w:tblGrid>
        <w:gridCol w:w="5540"/>
        <w:gridCol w:w="60"/>
        <w:gridCol w:w="150"/>
        <w:gridCol w:w="1054"/>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b/>
              </w:rPr>
            </w:pPr>
            <w:r>
              <w:rPr>
                <w:b/>
              </w:rPr>
              <w:t>Drug molecules: up to the conditions and milestones of</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220"/>
              <w:jc w:val="left"/>
              <w:rPr/>
            </w:pPr>
            <w:r>
              <w:rPr/>
              <w:t> </w:t>
            </w:r>
          </w:p>
        </w:tc>
      </w:tr>
      <w:tr>
        <w:trPr/>
        <w:tc>
          <w:tcPr>
            <w:tcW w:w="5540" w:type="dxa"/>
            <w:tcBorders/>
            <w:shd w:fill="CCEEFF" w:val="clear"/>
            <w:vAlign w:val="center"/>
          </w:tcPr>
          <w:p>
            <w:pPr>
              <w:pStyle w:val="TableContents"/>
              <w:bidi w:val="0"/>
              <w:spacing w:before="0" w:after="283"/>
              <w:jc w:val="left"/>
              <w:rPr/>
            </w:pPr>
            <w:r>
              <w:rPr/>
              <w:t>From entering phase 1 to before first commercial sale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054" w:type="dxa"/>
            <w:tcBorders/>
            <w:shd w:fill="CCEEFF" w:val="clear"/>
            <w:vAlign w:val="center"/>
          </w:tcPr>
          <w:p>
            <w:pPr>
              <w:pStyle w:val="TableContents"/>
              <w:bidi w:val="0"/>
              <w:spacing w:before="0" w:after="283"/>
              <w:jc w:val="right"/>
              <w:rPr/>
            </w:pPr>
            <w:r>
              <w:rPr/>
              <w:t>920,000</w:t>
            </w:r>
          </w:p>
        </w:tc>
        <w:tc>
          <w:tcPr>
            <w:tcW w:w="75" w:type="dxa"/>
            <w:tcBorders/>
            <w:shd w:fill="CCEEFF" w:val="clear"/>
            <w:vAlign w:val="center"/>
          </w:tcPr>
          <w:p>
            <w:pPr>
              <w:pStyle w:val="TableContents"/>
              <w:bidi w:val="0"/>
              <w:spacing w:before="0" w:after="283"/>
              <w:ind w:left="0" w:right="0" w:hanging="220"/>
              <w:jc w:val="left"/>
              <w:rPr/>
            </w:pPr>
            <w:r>
              <w:rPr/>
              <w:t> </w:t>
            </w:r>
          </w:p>
        </w:tc>
      </w:tr>
      <w:tr>
        <w:trPr/>
        <w:tc>
          <w:tcPr>
            <w:tcW w:w="5540" w:type="dxa"/>
            <w:tcBorders/>
            <w:shd w:fill="FFFFFF" w:val="clear"/>
            <w:vAlign w:val="center"/>
          </w:tcPr>
          <w:p>
            <w:pPr>
              <w:pStyle w:val="TableContents"/>
              <w:bidi w:val="0"/>
              <w:spacing w:before="0" w:after="283"/>
              <w:jc w:val="left"/>
              <w:rPr/>
            </w:pPr>
            <w:r>
              <w:rPr/>
              <w:t>First commercial sale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800,000</w:t>
            </w:r>
          </w:p>
        </w:tc>
        <w:tc>
          <w:tcPr>
            <w:tcW w:w="75" w:type="dxa"/>
            <w:tcBorders/>
            <w:shd w:fill="FFFFFF" w:val="clear"/>
            <w:vAlign w:val="center"/>
          </w:tcPr>
          <w:p>
            <w:pPr>
              <w:pStyle w:val="TableContents"/>
              <w:bidi w:val="0"/>
              <w:spacing w:before="0" w:after="283"/>
              <w:ind w:left="0" w:right="0" w:hanging="220"/>
              <w:jc w:val="left"/>
              <w:rPr/>
            </w:pPr>
            <w:r>
              <w:rPr/>
              <w:t> </w:t>
            </w:r>
          </w:p>
        </w:tc>
      </w:tr>
      <w:tr>
        <w:trPr/>
        <w:tc>
          <w:tcPr>
            <w:tcW w:w="5540" w:type="dxa"/>
            <w:tcBorders/>
            <w:shd w:fill="CCEEFF" w:val="clear"/>
            <w:vAlign w:val="center"/>
          </w:tcPr>
          <w:p>
            <w:pPr>
              <w:pStyle w:val="TableContents"/>
              <w:bidi w:val="0"/>
              <w:spacing w:before="0" w:after="283"/>
              <w:jc w:val="left"/>
              <w:rPr/>
            </w:pPr>
            <w:r>
              <w:rPr/>
              <w:t>Net sales amount more than certain threshold in a year</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4" w:type="dxa"/>
            <w:tcBorders>
              <w:bottom w:val="single" w:sz="12" w:space="0" w:color="000000"/>
            </w:tcBorders>
            <w:shd w:fill="CCEEFF" w:val="clear"/>
            <w:tcMar>
              <w:bottom w:w="28" w:type="dxa"/>
            </w:tcM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ind w:left="0" w:right="0" w:hanging="220"/>
              <w:jc w:val="left"/>
              <w:rPr/>
            </w:pPr>
            <w:r>
              <w:rPr/>
              <w:t> </w:t>
            </w:r>
          </w:p>
        </w:tc>
      </w:tr>
      <w:tr>
        <w:trPr/>
        <w:tc>
          <w:tcPr>
            <w:tcW w:w="554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1054" w:type="dxa"/>
            <w:tcBorders>
              <w:bottom w:val="single" w:sz="12" w:space="0" w:color="000000"/>
            </w:tcBorders>
            <w:shd w:fill="FFFFFF" w:val="clear"/>
            <w:tcMar>
              <w:bottom w:w="28" w:type="dxa"/>
            </w:tcMar>
            <w:vAlign w:val="center"/>
          </w:tcPr>
          <w:p>
            <w:pPr>
              <w:pStyle w:val="TableContents"/>
              <w:bidi w:val="0"/>
              <w:spacing w:before="0" w:after="283"/>
              <w:jc w:val="right"/>
              <w:rPr/>
            </w:pPr>
            <w:r>
              <w:rPr/>
              <w:t>8,720,000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both the six months ended June 30, 2026 and 2025, the Group incurred no milestone payments. For both the six months ended June 30, 2026 and 2025, the Group did not incur any royalties or research and development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SUMMARY OF OUR CASH FLOWS</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0" w:type="dxa"/>
          <w:right w:w="0" w:type="dxa"/>
        </w:tblCellMar>
      </w:tblPr>
      <w:tblGrid>
        <w:gridCol w:w="3890"/>
        <w:gridCol w:w="60"/>
        <w:gridCol w:w="146"/>
        <w:gridCol w:w="1103"/>
        <w:gridCol w:w="95"/>
        <w:gridCol w:w="60"/>
        <w:gridCol w:w="155"/>
        <w:gridCol w:w="1094"/>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Six months</w:t>
              <w:br/>
              <w:t>ended</w:t>
              <w:br/>
              <w:t>June 30,</w:t>
              <w:br/>
              <w:t>2025</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(1,553,720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(816,544</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(65,000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9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single" w:sz="12" w:space="0" w:color="000000"/>
            </w:tcBorders>
            <w:shd w:fill="CCEEFF" w:val="clear"/>
            <w:tcMar>
              <w:bottom w:w="28" w:type="dxa"/>
            </w:tcMar>
            <w:vAlign w:val="center"/>
          </w:tcPr>
          <w:p>
            <w:pPr>
              <w:pStyle w:val="TableContents"/>
              <w:bidi w:val="0"/>
              <w:spacing w:before="0" w:after="283"/>
              <w:jc w:val="right"/>
              <w:rPr/>
            </w:pPr>
            <w:r>
              <w:rPr/>
              <w:t>2,699,200</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Net (decrease) increase in cash</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3" w:type="dxa"/>
            <w:tcBorders>
              <w:bottom w:val="double" w:sz="10" w:space="0" w:color="000000"/>
            </w:tcBorders>
            <w:shd w:fill="FFFFFF" w:val="clear"/>
            <w:tcMar>
              <w:bottom w:w="28" w:type="dxa"/>
            </w:tcMar>
            <w:vAlign w:val="center"/>
          </w:tcPr>
          <w:p>
            <w:pPr>
              <w:pStyle w:val="TableContents"/>
              <w:bidi w:val="0"/>
              <w:spacing w:before="0" w:after="283"/>
              <w:jc w:val="right"/>
              <w:rPr/>
            </w:pPr>
            <w:r>
              <w:rPr/>
              <w:t>(1,618,720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4" w:type="dxa"/>
            <w:tcBorders>
              <w:bottom w:val="double" w:sz="10" w:space="0" w:color="000000"/>
            </w:tcBorders>
            <w:shd w:fill="FFFFFF" w:val="clear"/>
            <w:tcMar>
              <w:bottom w:w="28" w:type="dxa"/>
            </w:tcMar>
            <w:vAlign w:val="center"/>
          </w:tcPr>
          <w:p>
            <w:pPr>
              <w:pStyle w:val="TableContents"/>
              <w:bidi w:val="0"/>
              <w:spacing w:before="0" w:after="283"/>
              <w:jc w:val="right"/>
              <w:rPr/>
            </w:pPr>
            <w:r>
              <w:rPr/>
              <w:t>1,882,656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amounted to $1.6 million and $0.8 million for the six months ended June 30, 2026 and 2025, respectively. The net cash used in operating activities increased as a result of the Company’s exclusive emphasis on the previously anticipated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amounted to $65,000 and nil for the six months ended June 30, 2026 and 2025, respectively, and no material movement noted. The increase in net cash outflow from investing activities was associated with the loan to DiamiR.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amounted to nil and $2.7 million for the six months ended June 30, 2026 and 2025, respectively. The decrease in net cash inflow from financing activities is attributed to the placing of shares in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Unaudited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information set forth above is subject to adjustments that may be identified when audit work is performed on the Company’s year-end financial statements, which could result in significant differences from this unaudited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4005/000101376224001316/ea0209940-s8_aptorum.htm" TargetMode="External"/><Relationship Id="rId3" Type="http://schemas.openxmlformats.org/officeDocument/2006/relationships/hyperlink" Target="https://www.sec.gov/Archives/edgar/data/1734005/000121390026005167/ea0272660-f3_aptorumgroup.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15186</Words>
  <Characters>83237</Characters>
  <CharactersWithSpaces>99373</CharactersWithSpaces>
  <Paragraphs>3464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