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6"/>
        </w:trPr>
        <w:tc>
          <w:tcPr>
            <w:tcW w:w="36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17 Hanover Square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 W1S 1BN, 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+44 20 80929299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Louis Taubman,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Hunter Taubman Fischer &amp; Li LLC</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950 Third Avenue, 19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917.512.0827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212.202.6380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effectiveness of this registration statement.</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or Rule 12b-2 of the Securities Exchange Act of 1934.</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and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MAY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1675"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16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2,060,000 Class A Ordinary Shares Upon Exercise of Certain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Aptorum Group Limited (the “Company”), a holding company incorporated in the Cayman Islands with its operations conducted by its subsidiaries is filing this prospectus for the offer and sale from time to time by the selling securityholders named in this prospectus (and any of their pledgees, assignees, transferees and successors-in-interest) (the “Selling Securityholders”) of up to 2,060,000 shares of its Class A Ordinary Shares, par value of $0.00001 each (the “Class A Ordinary Shares”), issuable upon the exercise of (i) Ordinary Share Purchase Warrants to purchase up to 2,000,000 Class A Ordinary Shares (“Investor Warrant Shares”) at an original exercise price of $2.00 per share, subject to adjustment (the “October 2025 Warrants”), issued by us to certain accredited investors on October 14, 2025 in a concurrent private placement and registered direct transaction pursuant to a securities purchase agreement, dated as of October 10, 2025 (the “Purchase Agreement”) and (ii) placement agent ordinary share purchase warrants (the “Placement Agent Warrants,” together with the October 2025 Warrants, the “2025 Warrants”) to purchase an aggregate of 60,000 Class A Ordinary Shares (the “Placement Agent Warrant Shares,” together with the Investor Warrant Shares, the “2025 Warrant Shares”) issued to H.C. Wainwright &amp; Co., LLC or its designees, as exclusive placement agent (the “Placement Agent”), at an exercise price of $2.50 per share. The Investor Warrants are exercisable immediately and expire on the 5-year anniversary of the effective date of this registration statement. The Placement Agent Warrants were exercisable immediately upon issuance on October 10, 2025, and expire on the earlier of 24 months from the effective date of this registration statement or October 10, 2030.</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 pursuant to this prospectus. We will, however, receive the exercise price of $2.00 per share of any of the October 2025 Warrants exercised for cash and $2.50 per share of any Placement Agent Warrants exercised for cash. Additionally,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Additional details regarding the securities to which this prospectus relates and the Selling Securityholders is set forth in this prospectus in the Prospectus Summary under the heading “</w:t>
      </w:r>
      <w:r>
        <w:rPr>
          <w:rFonts w:ascii="Times New Roman" w:cs="Times New Roman" w:eastAsia="Times New Roman" w:hAnsi="Times New Roman"/>
          <w:sz w:val="18"/>
          <w:szCs w:val="18"/>
          <w:i w:val="1"/>
          <w:iCs w:val="1"/>
          <w:color w:val="auto"/>
        </w:rPr>
        <w:t>Registered Direct Offering and Concurrent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Placement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Securityholders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is listed on the Nasdaq Capital Market under the symbol “APM.” The last reported sale price of the Class A Ordinary Shares on May 26, 2026 was US$0.845 per Class A Ordinary Share.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Aptorum is a holding company incorporated in the Cayman Islands with no material operations of its own. Through our direct and indirectly wholly owned subsidiaries, we conduct a majority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Aptorum’s operations and/or a material change in the value of its securities, including that such event could cause the value of such securities to significantly decline or become worthless. Investing in our ordinary shares involves a high degree of risk, including the risk of losing your entire investment. Aptorum does not own substantial assets or conduct substantial operations in the People’s Republic of China (the “PRC”), but our principal business operations are conducted in Hong Kong and therefore Aptorum is considered a China-based issuer and is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9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risks applicable to Aptorum regarding operations in Hong Kong,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of this registration statement of which this prospectus forms a part.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registration statement of which this prospectus forms a part,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Up through April 10, 2026, Aptorum has transferred the noted amount to the referenced subsidiary:</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Aptus Management Ltd</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62,719,820.10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9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Aptorum Medical Ltd</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1,624,166.03</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Therapeutics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15,369,903.99</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Acticule Life Sciences Ltd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4,972,079.05</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Innovations Holding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15,087.11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Aptorum Innovations Holding Pte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442,201.61</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Group LLC</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4,337.75</w:t>
            </w:r>
          </w:p>
        </w:tc>
      </w:tr>
      <w:tr>
        <w:trPr>
          <w:trHeight w:val="257"/>
        </w:trPr>
        <w:tc>
          <w:tcPr>
            <w:tcW w:w="9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Claves Life Sciences Ltd</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331,959.92</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Scipio Life Sciences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151,710.07</w:t>
            </w:r>
          </w:p>
        </w:tc>
      </w:tr>
      <w:tr>
        <w:trPr>
          <w:trHeight w:val="257"/>
        </w:trPr>
        <w:tc>
          <w:tcPr>
            <w:tcW w:w="9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Signate Life Sciences Ltd</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319,385.76</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Pharmaceutical Dev.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7,300.00</w:t>
            </w: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4"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entity has been struck off the Cayman Islands’ registry and dissolved.</w:t>
      </w:r>
    </w:p>
    <w:p>
      <w:pPr>
        <w:spacing w:after="0" w:line="200" w:lineRule="exact"/>
        <w:rPr>
          <w:rFonts w:ascii="Times New Roman" w:cs="Times New Roman" w:eastAsia="Times New Roman" w:hAnsi="Times New Roman"/>
          <w:sz w:val="30"/>
          <w:szCs w:val="30"/>
          <w:color w:val="auto"/>
          <w:vertAlign w:val="superscript"/>
        </w:rPr>
      </w:pPr>
    </w:p>
    <w:p>
      <w:pPr>
        <w:spacing w:after="0" w:line="213" w:lineRule="exact"/>
        <w:rPr>
          <w:rFonts w:ascii="Times New Roman" w:cs="Times New Roman" w:eastAsia="Times New Roman" w:hAnsi="Times New Roman"/>
          <w:sz w:val="30"/>
          <w:szCs w:val="30"/>
          <w:color w:val="auto"/>
          <w:vertAlign w:val="superscript"/>
        </w:rPr>
      </w:pPr>
    </w:p>
    <w:p>
      <w:pPr>
        <w:ind w:left="562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registration statement of which this prospectus forms a part,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registration statement of which this prospectus forms a part, neither Libra nor any of our subsidiaries nor investments have ever issued any dividends or distributions to us or their respective shareholders outside of China.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spacing w:after="0" w:line="176" w:lineRule="exact"/>
        <w:rPr>
          <w:sz w:val="20"/>
          <w:szCs w:val="20"/>
          <w:color w:val="auto"/>
        </w:rPr>
      </w:pPr>
    </w:p>
    <w:p>
      <w:pPr>
        <w:jc w:val="both"/>
        <w:ind w:firstLine="656"/>
        <w:spacing w:after="0" w:line="251" w:lineRule="auto"/>
        <w:tabs>
          <w:tab w:leader="none" w:pos="9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 w:cs="Times New Roman" w:eastAsia="Times New Roman" w:hAnsi="Times New Roman"/>
          <w:sz w:val="18"/>
          <w:szCs w:val="18"/>
          <w:i w:val="1"/>
          <w:iCs w:val="1"/>
          <w:color w:val="auto"/>
        </w:rPr>
        <w:t>Risk Factors — If the U.S. Public Company Accounting Oversight Board, or the PCAOB,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w:t>
      </w:r>
      <w:r>
        <w:rPr>
          <w:rFonts w:ascii="Times New Roman" w:cs="Times New Roman" w:eastAsia="Times New Roman" w:hAnsi="Times New Roman"/>
          <w:sz w:val="18"/>
          <w:szCs w:val="18"/>
          <w:color w:val="auto"/>
        </w:rPr>
        <w:t>for more information.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21 of this prospectus.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filing this Amendment No. 1 to our registration statement on Form F-1, initially filed on November 17, 2025 and declared effective on December 3, 2025 to bring the disclosure current.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registering any additional securities in this amendment. All applicable registration fees were previously paid.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4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38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624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vii</w:t>
            </w:r>
          </w:p>
        </w:tc>
      </w:tr>
      <w:tr>
        <w:trPr>
          <w:trHeight w:val="176"/>
        </w:trPr>
        <w:tc>
          <w:tcPr>
            <w:tcW w:w="18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8260" w:type="dxa"/>
            <w:vAlign w:val="bottom"/>
            <w:tcBorders>
              <w:top w:val="single" w:sz="8" w:color="CCEEFF"/>
            </w:tcBorders>
            <w:gridSpan w:val="18"/>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Offering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 Related to the DiamiR Merger and Aptorum</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Trademarks, Service Marks and Tradenames</w:t>
            </w:r>
          </w:p>
        </w:tc>
        <w:tc>
          <w:tcPr>
            <w:tcW w:w="69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11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8940" w:type="dxa"/>
            <w:vAlign w:val="bottom"/>
            <w:tcBorders>
              <w:top w:val="single" w:sz="8" w:color="CCEEFF"/>
            </w:tcBorders>
            <w:gridSpan w:val="2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7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Company’s Business</w:t>
            </w:r>
          </w:p>
        </w:tc>
        <w:tc>
          <w:tcPr>
            <w:tcW w:w="860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117</w:t>
            </w:r>
          </w:p>
        </w:tc>
      </w:tr>
      <w:tr>
        <w:trPr>
          <w:trHeight w:val="176"/>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DiamiR’s Business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DiamiR’s Management</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Transactions With Related Persons</w:t>
            </w:r>
          </w:p>
        </w:tc>
        <w:tc>
          <w:tcPr>
            <w:tcW w:w="760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219</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DiamiR’s Transactions with Related Persons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221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1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221</w:t>
            </w:r>
          </w:p>
        </w:tc>
      </w:tr>
      <w:tr>
        <w:trPr>
          <w:trHeight w:val="176"/>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DiamiR’s Security Ownership Of Certain Beneficial Owners And Management</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223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225</w:t>
            </w:r>
          </w:p>
        </w:tc>
      </w:tr>
      <w:tr>
        <w:trPr>
          <w:trHeight w:val="176"/>
        </w:trPr>
        <w:tc>
          <w:tcPr>
            <w:tcW w:w="21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8020" w:type="dxa"/>
            <w:vAlign w:val="bottom"/>
            <w:tcBorders>
              <w:top w:val="single" w:sz="8" w:color="CCEEFF"/>
            </w:tcBorders>
            <w:gridSpan w:val="1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235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80" w:type="dxa"/>
            <w:vAlign w:val="bottom"/>
            <w:tcBorders>
              <w:bottom w:val="single" w:sz="8" w:color="CCEEFF"/>
            </w:tcBorders>
            <w:gridSpan w:val="2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237</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Of This Offering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251</w:t>
            </w:r>
          </w:p>
        </w:tc>
      </w:tr>
      <w:tr>
        <w:trPr>
          <w:trHeight w:val="175"/>
        </w:trPr>
        <w:tc>
          <w:tcPr>
            <w:tcW w:w="19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818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251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560" w:type="dxa"/>
            <w:vAlign w:val="bottom"/>
            <w:tcBorders>
              <w:bottom w:val="single" w:sz="8" w:color="CCEEFF"/>
            </w:tcBorders>
            <w:gridSpan w:val="3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251</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252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253</w:t>
            </w:r>
          </w:p>
        </w:tc>
      </w:tr>
      <w:tr>
        <w:trPr>
          <w:trHeight w:val="175"/>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254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Statements</w:t>
            </w:r>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255</w:t>
            </w:r>
          </w:p>
        </w:tc>
      </w:tr>
      <w:tr>
        <w:trPr>
          <w:trHeight w:val="176"/>
        </w:trPr>
        <w:tc>
          <w:tcPr>
            <w:tcW w:w="1012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Information Not Required In Prospectus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II-1</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We have not authorized any person to provide you with information different from that contained in this prospectus or any related free-writing prospectus that we authorize to be distributed to you. This prospectus is not an offer to sell, nor is it seeking an offer to buy, these securities in any jurisdiction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and the distribution of this prospectus outside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you are cautioned not to give undue weight to this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references in this prospectus to “$,” “U.S.$,” “U.S. dollars,” “dollars,” “US$,” and “USD” mean United States dollars unless otherwise noted. All references to the “UK” in this prospectus refer to the United Kingdom. All references to the “PRC” or “China” in this prospectus refer to the People’s Republic of China. All references to “Hong Kong” or “H.K.” in this prospectus refer to Hong Kong Special Administrative Region of the People’s Republic of China. All references to the “United States,” “U.S.” or “US” refer to the United States of America.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in this prospectus, disclosure herein including disclosure incorporated by reference herein pertains to Aptorum Group Limited, a Cayman Islands exempted company with limited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sections titled “Prospectus Summary,” “Risk Factors,” “Our Business,” and “Operating and Financial Review and Prospects” as well as information we incorporated herein by reference, contains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and the documents incorporated herein by reference include, but are not limited to, statements about:</w:t>
      </w:r>
    </w:p>
    <w:p>
      <w:pPr>
        <w:spacing w:after="0" w:line="18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and clinical trials, and our research and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drug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drug and device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drug candidates currently undergoing preclinical development; in particular, our Lead Project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drug and device candidates, if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IP rights covering our drug and device candidates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IP rights and proprietary technology of other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IP infringement, product liability and other claims;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 in the U.S., Europe and PRC and other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to enter into strategic arrangements;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grant funding; the rate and degree of market acceptance of our drug and device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 including competing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hiring plans, expenses, capital expenditures, capital requirements and share performance;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our Class A Ordinary Shares and impact of securities analysts’ reports on these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DiamiR’s business and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the DiamiR Merger and operations of the Combined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terminologies.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contains market data and industry forecasts that were obtained from industry publications. These data involve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w:t>
      </w:r>
    </w:p>
    <w:p>
      <w:pPr>
        <w:spacing w:after="0" w:line="17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in this registration statement references to:</w:t>
      </w:r>
    </w:p>
    <w:p>
      <w:pPr>
        <w:spacing w:after="0" w:line="225"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“A*STAR” refers to Agency for Science, Technology and Research.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“Acticule” refers to Acticule Life Sciences Limited, an 80% owned subsidiary of Aptorum Group.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refers to Alzheimer’s disease.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left="324"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refers to Aptorum Medical Limited, a 90% owned subsidiary of Aptorum Group, as of the date of this prospectus.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Group,” and “Group” refer to Aptorum Group Limited, a Cayman Islands exempted company with limited liability whose principal place of business is in Hong Kong and all of its subsidiaries.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refers to College of Clinical Pathology (CAP) accredited laboratory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“cGCP” refers to Current Good Clinical Practice as adopted by the applicable regulatory authority.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“cGLP” refers to Current Good Laboratory Practice as adopted by the applicable regulatory authority.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“cGMP” refers to Current Good Manufacturing Practice as adopted by the applicable regulatory authority.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refers to the Company immediately following the consummation of the DiamiR Merger.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the Company’s Class A Ordinary Shares, par value $0.00001 per share.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the Company’s Class B Ordinary Shares, par value $0.00001 per share.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refers to Clinical Laboratory Improvement Amendments.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“we” and “us” and “our” refer to Aptorum Group Limited, currently a Cayman Islands exempted company with limited liability whose principal place of business is in Hong Kong, but which will be a company incorporated in Delaware after the Domestication.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“CMC” refers to chemical, manufacturing and control.</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“Covar” refers to Covar Pharmaceuticals Incorporated, a contract research organization engaged by the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refers to contract research organizations.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“CTA” refers to Clinical Trial Application.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refers to DiamiR Biosciences Corp., a Delaware corporation and its wholly-owned subsidiary DiamiR, LLC a private Delaware limited liability company.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 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spacing w:after="0" w:line="39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1" w:name="page12"/>
    <w:bookmarkEnd w:id="11"/>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“EEA” refers to the European Economic Area.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refers to the European Medicines Agency.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refers to Europe, the Middle East and Africa.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 refers to the European Patent Organization or the European Patent Office operated by it.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Patent” refers to patents issuable by the EPO.</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refers to the European Union.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refers to U.S. Food and Drug Administration.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“FDCA” refers to the U.S. Federal Food, Drug and Cosmetic Act.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refers to the period from January 31 of each calendar year to December 31 of the same calendar year.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“HKD” refers to Hong Kong Dollars.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refers to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refers to Investigational New Drugs.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refers to intellectual property.</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or “Offering” means the initial public offering by the Company of 76,142 Class A ordinary Shares consummated on December 17, 2018.</w:t>
      </w:r>
    </w:p>
    <w:p>
      <w:pPr>
        <w:spacing w:after="0" w:line="15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“IVD” refers to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w:t>
      </w:r>
    </w:p>
    <w:p>
      <w:pPr>
        <w:spacing w:after="0" w:line="227"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“Jurchen” refers to Jurchen Investment Corporation, a company wholly-owned by our Chief Executive Officer and director, Ian Huen, and a holding company of Aptorum Group.</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refers to DiamiR’s laboratory in New Haven, CT, unless otherwise noted.</w:t>
      </w:r>
    </w:p>
    <w:p>
      <w:pPr>
        <w:spacing w:after="0" w:line="223"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“LDT” refers to lab-developed test. An LDT is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(IVD) test that is designed, manufactured, and performed within a single laboratory. The development of the lab-developed test includes custom assay design and validation of the test system, including accuracy and replicability of the test.</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Projects” refers to ALS-4 and SACT-1.</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“Libra” refers to Libra Sciences Limited, a VIE in which we hold 97.27% economic interest and 31.51% voting power. Libra is incorporated under the laws of the Cayman Islands. We are not deemed as the primary beneficiary of Libra for accounting purposes.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2" w:name="page13"/>
    <w:bookmarkEnd w:id="12"/>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“LIMS” refers to Laboratory Information Management System.</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Patent Jurisdictions” refers to the United States, member states of the European Patent Organization and the People’s Republic of China.</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“MCI” refers to Mild Cognitive Impairment.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“microRNA” (miRNA) refers to non-coding small nucleic acid molecules.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“Nativus” refers to Nativus Life Sciences Limited, a wholly-owned subsidiary of Aptorum Group.</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“NMPA” refers to China’s National Medical Products Administration and its predecessor, the China Food and Drug Administration.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 refers to neurodegenerative diseases.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refers to a New Drug Application issued by the FDA.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“NIH” refers to National Institute of Health.</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the Class A Ordinary Shares and Class B Ordinary Shares collectively.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 refers to Parkinson’s disease.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and “China” refer to the People’s Republic of China.</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“Restructure” refers to the Company’s change from an investment fund with management shares and non-voting participating redeemable preference shares to a holding company with operating subsidiaries, effective as of March 1, 2017.</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refers to research and development.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Center” refers to an in-house pharmaceutical development center located in Hong Kong Science and Technology Park.</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“SBIR” refers to Small Business Innovation Research, a funding program administered by the National Institutes of Health.</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 Commission,” “SEC,” “Commission” or similar terms refer to the Securities Exchange Commission.</w:t>
      </w:r>
    </w:p>
    <w:p>
      <w:pPr>
        <w:spacing w:after="0" w:line="200" w:lineRule="exact"/>
        <w:rPr>
          <w:sz w:val="20"/>
          <w:szCs w:val="20"/>
          <w:color w:val="auto"/>
        </w:rPr>
      </w:pPr>
    </w:p>
    <w:p>
      <w:pPr>
        <w:spacing w:after="0" w:line="24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3" w:name="page14"/>
    <w:bookmarkEnd w:id="13"/>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“Sarbanes-Oxley Act” refers to the Sarbanes-Oxley Act of 2002.</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“Scipio” refers to Scipio Life Sciences Limited, originally a consolidated VIE in which we indirectly hold 97.93% economic interest and 35.06% voting 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refers to the United Kingdom.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“U.S.” and “US” refer to the United States of America.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“Videns” refers to Videns Incorporation Limited, a wholly-owned subsidiary of Aptorum Group.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refers to a variable interest entity.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includes information with respect to market and industry conditions and market share from third-party sources or based upon estimates using such sources when available. We have not, directly or indirectly, sponsored or participated in the publication of any of such materials. We believe that such information and estimates are reasonable and reliable. We also assume the information extracted from publications of third-party sources has been accurately reproduced. We understand that the Company would be liable for the information included in this prospectus if any part of the information was incorrect, misleading or imprecise to a material extent.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953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the entire prospectus, including our financial statements and the related notes and management’s discussion and analysis incorporated herein by reference. You should also consider, among other things, the matters described under “Risk Factors” in each case appearing elsewhere in this prospectus. Unless otherwise stated, all references to “us,” “our,” “Aptorum,” “we,” the “Company,” the “group” and similar designations refer to Aptorum Group Limited, a Cayman Islands exempted company with limited liability and all references to “DiamiR” refer to DiamiR Biosciences Corp., a Delaware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 of Aptorum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now focuses all of its efforts on R&amp;D; it no longer provides any clinical services. As of December 31, 2025, and the date hereof, it only operates in one segment.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develop a broad range of novel and repurposed therapeutics and diagnostics technology across a wide range of disease/therapeutic areas. Key components of our strategy for achieving this goal include: (for details of our strategy, See “Business Overview – Company’s Strategy”)</w:t>
      </w:r>
    </w:p>
    <w:p>
      <w:pPr>
        <w:spacing w:after="0" w:line="176" w:lineRule="exact"/>
        <w:rPr>
          <w:sz w:val="20"/>
          <w:szCs w:val="20"/>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therapeutic and diagnostic innovations across a wide range of disease/therapeutic areas;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expanding our portfolio with potential products that may be able to attain orphan drug designation and/or satisfy current unmet medical needs;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leading academic institutions and CROs;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in-house pharmaceutical development center;</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management’s expertise, experience and commercial networks;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leveraging government grants to fund project development.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 SACT-1 is the first repurposed drug</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candidate to be developed under the Smart-ACT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10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5104765"/>
                    </a:xfrm>
                    <a:prstGeom prst="rect">
                      <a:avLst/>
                    </a:prstGeom>
                    <a:noFill/>
                  </pic:spPr>
                </pic:pic>
              </a:graphicData>
            </a:graphic>
          </wp:anchor>
        </w:drawing>
        <w:t>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 4 by 2027 and commencing Phase 2 trials shortly thereafter, contingent on funding.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decided to streamline its operations by terminating clinic services and suspending non-lead R&amp;D projects. This was done to optimize the allocation of the Company’s resources and focusing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being based in Hong Kong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Doing 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 </w:t>
      </w:r>
      <w:r>
        <w:rPr>
          <w:rFonts w:ascii="Times New Roman" w:cs="Times New Roman" w:eastAsia="Times New Roman" w:hAnsi="Times New Roman"/>
          <w:sz w:val="18"/>
          <w:szCs w:val="18"/>
          <w:color w:val="auto"/>
        </w:rPr>
        <w:t>on page 75.</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6" w:name="page17"/>
    <w:bookmarkEnd w:id="16"/>
    <w:p>
      <w:pPr>
        <w:jc w:val="both"/>
        <w:ind w:left="8" w:firstLine="648"/>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w:t>
      </w:r>
    </w:p>
    <w:p>
      <w:pPr>
        <w:spacing w:after="0" w:line="1" w:lineRule="exact"/>
        <w:rPr>
          <w:sz w:val="20"/>
          <w:szCs w:val="20"/>
          <w:color w:val="auto"/>
        </w:rPr>
      </w:pPr>
    </w:p>
    <w:p>
      <w:pPr>
        <w:jc w:val="both"/>
        <w:ind w:left="8" w:hanging="8"/>
        <w:spacing w:after="0" w:line="251" w:lineRule="auto"/>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Times New Roman" w:cs="Times New Roman" w:eastAsia="Times New Roman" w:hAnsi="Times New Roman"/>
          <w:sz w:val="18"/>
          <w:szCs w:val="18"/>
          <w:i w:val="1"/>
          <w:iCs w:val="1"/>
          <w:color w:val="auto"/>
        </w:rPr>
        <w:t>Risk Factors — Risks Related to Doing Business in the Jurisdictions in which Our Operating Subsidiaries Operate — If we and/or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 w:cs="Times New Roman" w:eastAsia="Times New Roman" w:hAnsi="Times New Roman"/>
          <w:sz w:val="18"/>
          <w:szCs w:val="18"/>
          <w:color w:val="auto"/>
        </w:rPr>
        <w:t>” on page 70.</w:t>
      </w:r>
    </w:p>
    <w:p>
      <w:pPr>
        <w:spacing w:after="0" w:line="190"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 w:cs="Times New Roman" w:eastAsia="Times New Roman" w:hAnsi="Times New Roman"/>
          <w:sz w:val="18"/>
          <w:szCs w:val="18"/>
          <w:i w:val="1"/>
          <w:iCs w:val="1"/>
          <w:color w:val="auto"/>
        </w:rPr>
        <w:t>Risk Factors — Risks Related to Doing Business in the Jurisdictions in which Our Operating Subsidiaries Operate — If we and/or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 w:cs="Times New Roman" w:eastAsia="Times New Roman" w:hAnsi="Times New Roman"/>
          <w:sz w:val="18"/>
          <w:szCs w:val="18"/>
          <w:color w:val="auto"/>
        </w:rPr>
        <w:t>” on page 72.</w:t>
      </w: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120" w:right="459" w:bottom="1440" w:gutter="0" w:footer="0" w:header="0"/>
        </w:sectPr>
      </w:pPr>
    </w:p>
    <w:bookmarkStart w:id="17" w:name="page18"/>
    <w:bookmarkEnd w:id="1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927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w:cs="Times New Roman" w:eastAsia="Times New Roman" w:hAnsi="Times New Roman"/>
          <w:sz w:val="18"/>
          <w:szCs w:val="18"/>
          <w:i w:val="1"/>
          <w:iCs w:val="1"/>
          <w:color w:val="auto"/>
        </w:rPr>
        <w:t>Risk Factors — If the U.S. Public Company Accounting Oversight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 w:cs="Times New Roman" w:eastAsia="Times New Roman" w:hAnsi="Times New Roman"/>
          <w:sz w:val="18"/>
          <w:szCs w:val="18"/>
          <w:color w:val="auto"/>
        </w:rPr>
        <w:t>.” on page 59.</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025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Each of Aptorum and DiamiR agree to cooperate to raise additional capital of Aptorum, if needed, through the sale and issuance of equity securities of Aptorum, 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May 26, 2026, Aptorum has issued 215,959 Class A ordinary shares pursuant to the ATM Offering.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162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Voting and Support Agreement</w:t>
      </w:r>
    </w:p>
    <w:p>
      <w:pPr>
        <w:spacing w:after="0" w:line="229"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29"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192"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color w:val="auto"/>
        </w:rPr>
        <w:t>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spacing w:after="0" w:line="197"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176"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w:t>
      </w:r>
    </w:p>
    <w:p>
      <w:pPr>
        <w:spacing w:after="0" w:line="3" w:lineRule="exact"/>
        <w:rPr>
          <w:sz w:val="20"/>
          <w:szCs w:val="20"/>
          <w:color w:val="auto"/>
        </w:rPr>
      </w:pPr>
    </w:p>
    <w:p>
      <w:pPr>
        <w:jc w:val="both"/>
        <w:ind w:left="8" w:hanging="8"/>
        <w:spacing w:after="0" w:line="255" w:lineRule="auto"/>
        <w:tabs>
          <w:tab w:leader="none" w:pos="3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pacing w:after="0" w:line="186" w:lineRule="exact"/>
        <w:rPr>
          <w:sz w:val="20"/>
          <w:szCs w:val="20"/>
          <w:color w:val="auto"/>
        </w:rPr>
      </w:pPr>
    </w:p>
    <w:p>
      <w:pPr>
        <w:jc w:val="both"/>
        <w:ind w:left="8" w:right="20" w:firstLine="648"/>
        <w:spacing w:after="0" w:line="266" w:lineRule="auto"/>
        <w:rPr>
          <w:sz w:val="20"/>
          <w:szCs w:val="20"/>
          <w:color w:val="auto"/>
        </w:rPr>
      </w:pPr>
      <w:r>
        <w:rPr>
          <w:rFonts w:ascii="Times New Roman" w:cs="Times New Roman" w:eastAsia="Times New Roman" w:hAnsi="Times New Roman"/>
          <w:sz w:val="18"/>
          <w:szCs w:val="18"/>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11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064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Wainwright Financial Advisory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26, 2026, Wainwright has incurred $0 in out-of-pocket expenses. Dr. Kira Sheinerman, the co-founder of DiamiR, is currently a managing director of Wainwright and shall be appointed to the Combined Company’s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Aptorum’s Reasons for the Merger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xml:space="preserve">4 allele is an established risk factor of AD, while APOE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xml:space="preserve">2 is considered to be neuroprotective) can be used as a screening tool for enrollment into clinical trials targeting APOE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790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particular, Company’s board of directors took into account the following reasons, facts and circumstances in approving the Merger:</w:t>
      </w:r>
    </w:p>
    <w:p>
      <w:pPr>
        <w:spacing w:after="0" w:line="225" w:lineRule="exact"/>
        <w:rPr>
          <w:sz w:val="20"/>
          <w:szCs w:val="20"/>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DiamiR’s product candidates in brain health, cancer and inflammatory diseases to create long term value for Company’s stockholders;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synergies available when combining Company’s existing SACT-1 therapeutic program for neuroblastoma and potentially other indications with DiamiR’s technology;</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enhanced ability to raise capital utilizing a broader potential product portfolio;</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projected cash position and the difficulties the Company has encountered in raising sufficient capital on a stand-alone basis;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 valuation of the Company on a stand-alone basis currently evidenced by the trading price of Company’s Class A ordinary shares;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alternatives to the Merger, including the discussions that Company’s management and advisors previously conducted with other potential partners, and the lack of any viable alternatives; and</w:t>
      </w:r>
    </w:p>
    <w:p>
      <w:pPr>
        <w:spacing w:after="0" w:line="161" w:lineRule="exact"/>
        <w:rPr>
          <w:rFonts w:ascii="Times New Roman" w:cs="Times New Roman" w:eastAsia="Times New Roman" w:hAnsi="Times New Roman"/>
          <w:sz w:val="18"/>
          <w:szCs w:val="18"/>
          <w:color w:val="auto"/>
        </w:rPr>
      </w:pPr>
    </w:p>
    <w:p>
      <w:pPr>
        <w:ind w:left="640" w:right="260"/>
        <w:spacing w:after="0" w:line="498"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Company that the consideration is fair, from a financial point of view, to the holders of Company’s Class A ordinary shares. Below are the material issues discussed and key negotiated terms of the Letter of Intent (LOI) and the final Merger Agreement.</w:t>
      </w:r>
    </w:p>
    <w:p>
      <w:pPr>
        <w:spacing w:after="0" w:line="1" w:lineRule="exact"/>
        <w:rPr>
          <w:rFonts w:ascii="Times New Roman" w:cs="Times New Roman" w:eastAsia="Times New Roman" w:hAnsi="Times New Roman"/>
          <w:sz w:val="18"/>
          <w:szCs w:val="18"/>
          <w:color w:val="auto"/>
        </w:rPr>
      </w:pPr>
    </w:p>
    <w:p>
      <w:pPr>
        <w:jc w:val="both"/>
        <w:ind w:left="960" w:right="20" w:hanging="320"/>
        <w:spacing w:after="0" w:line="257"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Material Terms of the LOI: </w:t>
      </w:r>
      <w:r>
        <w:rPr>
          <w:rFonts w:ascii="Times New Roman" w:cs="Times New Roman" w:eastAsia="Times New Roman" w:hAnsi="Times New Roman"/>
          <w:sz w:val="18"/>
          <w:szCs w:val="18"/>
          <w:color w:val="auto"/>
        </w:rPr>
        <w:t>The LOI outlined the preliminary terms of the proposed merger, including the structure of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22" w:name="page23"/>
    <w:bookmarkEnd w:id="22"/>
    <w:p>
      <w:pPr>
        <w:ind w:left="960" w:right="20" w:hanging="320"/>
        <w:spacing w:after="0" w:line="28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339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 xml:space="preserve">Key Negotiated Terms and Evolution of the Transaction: </w:t>
      </w:r>
      <w:r>
        <w:rPr>
          <w:rFonts w:ascii="Times New Roman" w:cs="Times New Roman" w:eastAsia="Times New Roman" w:hAnsi="Times New Roman"/>
          <w:sz w:val="18"/>
          <w:szCs w:val="18"/>
          <w:color w:val="auto"/>
        </w:rPr>
        <w:t>During negotiations leading to the final Merger Agreement, several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were refined, including:</w:t>
      </w:r>
    </w:p>
    <w:p>
      <w:pPr>
        <w:spacing w:after="0" w:line="154" w:lineRule="exact"/>
        <w:rPr>
          <w:rFonts w:ascii="Times New Roman" w:cs="Times New Roman" w:eastAsia="Times New Roman" w:hAnsi="Times New Roman"/>
          <w:sz w:val="18"/>
          <w:szCs w:val="18"/>
          <w:color w:val="auto"/>
        </w:rPr>
      </w:pPr>
    </w:p>
    <w:p>
      <w:pPr>
        <w:jc w:val="both"/>
        <w:ind w:left="1280" w:right="20" w:hanging="316"/>
        <w:spacing w:after="0" w:line="257" w:lineRule="auto"/>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Valuation and Conversion Ratio: </w:t>
      </w:r>
      <w:r>
        <w:rPr>
          <w:rFonts w:ascii="Times New Roman" w:cs="Times New Roman" w:eastAsia="Times New Roman" w:hAnsi="Times New Roman"/>
          <w:sz w:val="18"/>
          <w:szCs w:val="18"/>
          <w:color w:val="auto"/>
        </w:rPr>
        <w:t>The initial LOI included the proposed conversion ratio for the transaction and expressed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spacing w:after="0" w:line="182" w:lineRule="exact"/>
        <w:rPr>
          <w:rFonts w:ascii="Times New Roman" w:cs="Times New Roman" w:eastAsia="Times New Roman" w:hAnsi="Times New Roman"/>
          <w:sz w:val="18"/>
          <w:szCs w:val="18"/>
          <w:color w:val="auto"/>
        </w:rPr>
      </w:pPr>
    </w:p>
    <w:p>
      <w:pPr>
        <w:jc w:val="both"/>
        <w:ind w:left="1280" w:right="20" w:hanging="316"/>
        <w:spacing w:after="0" w:line="268" w:lineRule="auto"/>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of the Combined Entity: </w:t>
      </w:r>
      <w:r>
        <w:rPr>
          <w:rFonts w:ascii="Times New Roman" w:cs="Times New Roman" w:eastAsia="Times New Roman" w:hAnsi="Times New Roman"/>
          <w:sz w:val="18"/>
          <w:szCs w:val="18"/>
          <w:color w:val="auto"/>
        </w:rPr>
        <w:t>The LOI included a preliminary framework for the governance structure of the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board composition. These terms were further negotiated to ensure balanced representation from both parties and alignment with the strategic goals of the combined entity.</w:t>
      </w:r>
    </w:p>
    <w:p>
      <w:pPr>
        <w:spacing w:after="0" w:line="170" w:lineRule="exact"/>
        <w:rPr>
          <w:rFonts w:ascii="Times New Roman" w:cs="Times New Roman" w:eastAsia="Times New Roman" w:hAnsi="Times New Roman"/>
          <w:sz w:val="18"/>
          <w:szCs w:val="18"/>
          <w:color w:val="auto"/>
        </w:rPr>
      </w:pPr>
    </w:p>
    <w:p>
      <w:pPr>
        <w:ind w:left="1280" w:right="20" w:hanging="316"/>
        <w:spacing w:after="0" w:line="286" w:lineRule="auto"/>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to Closing: </w:t>
      </w:r>
      <w:r>
        <w:rPr>
          <w:rFonts w:ascii="Times New Roman" w:cs="Times New Roman" w:eastAsia="Times New Roman" w:hAnsi="Times New Roman"/>
          <w:sz w:val="18"/>
          <w:szCs w:val="18"/>
          <w:color w:val="auto"/>
        </w:rPr>
        <w:t>The conditions to closing, such as regulatory approvals, shareholder approvals, and minimum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were refined during the negotiation process to address any risks and requirements identified during due diligence.</w:t>
      </w:r>
    </w:p>
    <w:p>
      <w:pPr>
        <w:spacing w:after="0" w:line="154" w:lineRule="exact"/>
        <w:rPr>
          <w:rFonts w:ascii="Times New Roman" w:cs="Times New Roman" w:eastAsia="Times New Roman" w:hAnsi="Times New Roman"/>
          <w:sz w:val="18"/>
          <w:szCs w:val="18"/>
          <w:color w:val="auto"/>
        </w:rPr>
      </w:pPr>
    </w:p>
    <w:p>
      <w:pPr>
        <w:jc w:val="both"/>
        <w:ind w:left="1280" w:right="20" w:hanging="316"/>
        <w:spacing w:after="0" w:line="268" w:lineRule="auto"/>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Ancillary Agreements: </w:t>
      </w:r>
      <w:r>
        <w:rPr>
          <w:rFonts w:ascii="Times New Roman" w:cs="Times New Roman" w:eastAsia="Times New Roman" w:hAnsi="Times New Roman"/>
          <w:sz w:val="18"/>
          <w:szCs w:val="18"/>
          <w:color w:val="auto"/>
        </w:rPr>
        <w:t>The parties negotiated additional agreements to support the merger, including employment agreements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DiamiR personnel, intellectual property rights agreements, and transitional services agreements, ensuring a smooth integration of operations post-merger.</w:t>
      </w:r>
    </w:p>
    <w:p>
      <w:pPr>
        <w:spacing w:after="0" w:line="170" w:lineRule="exact"/>
        <w:rPr>
          <w:rFonts w:ascii="Times New Roman" w:cs="Times New Roman" w:eastAsia="Times New Roman" w:hAnsi="Times New Roman"/>
          <w:sz w:val="18"/>
          <w:szCs w:val="18"/>
          <w:color w:val="auto"/>
        </w:rPr>
      </w:pPr>
    </w:p>
    <w:p>
      <w:pPr>
        <w:jc w:val="both"/>
        <w:ind w:left="960" w:right="20" w:hanging="320"/>
        <w:spacing w:after="0" w:line="259"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Changes from the LOI to the Final Merger Agreement: </w:t>
      </w:r>
      <w:r>
        <w:rPr>
          <w:rFonts w:ascii="Times New Roman" w:cs="Times New Roman" w:eastAsia="Times New Roman" w:hAnsi="Times New Roman"/>
          <w:sz w:val="18"/>
          <w:szCs w:val="18"/>
          <w:color w:val="auto"/>
        </w:rPr>
        <w:t>While the LOI provided the initial framework for the transaction, certain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March 27, 2023, Aptorum entered into a non-binding Letter of Intent and Term Sheet to acquire (“2023 LOI”) 100% of </w:t>
      </w:r>
      <w:r>
        <w:rPr>
          <w:rFonts w:ascii="Times New Roman" w:cs="Times New Roman" w:eastAsia="Times New Roman" w:hAnsi="Times New Roman"/>
          <w:sz w:val="18"/>
          <w:szCs w:val="18"/>
          <w:i w:val="1"/>
          <w:iCs w:val="1"/>
          <w:color w:val="auto"/>
        </w:rPr>
        <w:t>URF</w:t>
      </w:r>
      <w:r>
        <w:rPr>
          <w:rFonts w:ascii="Times New Roman" w:cs="Times New Roman" w:eastAsia="Times New Roman" w:hAnsi="Times New Roman"/>
          <w:sz w:val="18"/>
          <w:szCs w:val="18"/>
          <w:color w:val="auto"/>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476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Other than the potential transaction with the U Group and YOOV, Aptorum did not engage with any other potential merger targets before entering into the Letter of Intent with DiamiR.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giving consideration to these and other factors, the Company board of directors approved the Merger, which the Company board of directors believes better positions Company for long-term success.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DiamiR’s Reasons for the Merger</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DiamiR’s decision to proceed with the strategic combination with Aptorum Group, is based on the following considerations:</w:t>
      </w:r>
    </w:p>
    <w:p>
      <w:pPr>
        <w:spacing w:after="0" w:line="225" w:lineRule="exact"/>
        <w:rPr>
          <w:sz w:val="20"/>
          <w:szCs w:val="20"/>
          <w:color w:val="auto"/>
        </w:rPr>
      </w:pPr>
    </w:p>
    <w:p>
      <w:pPr>
        <w:jc w:val="both"/>
        <w:ind w:left="960" w:right="20" w:hanging="320"/>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58"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spacing w:after="0" w:line="183"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and its executives have strong background in clinical services; DiamiR pursues dual business model of clinical testing and biopharma services;</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CLIA-certified, CAP-accredited laboratory is staffed with experienced assay development executives and staff with years of experience in developing molecular and biomarker testing solutions. Prior to its acquisition by DiamiR, the laboratory and its team validated and launched the first commercially available miRNA clinical test in oncology (thyroid cancer) and will apply their know-how to help Aptorum in its clinical development programs;</w:t>
      </w:r>
    </w:p>
    <w:p>
      <w:pPr>
        <w:spacing w:after="0" w:line="179"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with Aptorum Group will allow DiamiR to grow as part of a global company with broader network of experts and key opinion leaders;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spacing w:after="0" w:line="17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7162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SEC and Other Filings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Completion of the Merger</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162" w:lineRule="exact"/>
        <w:rPr>
          <w:sz w:val="20"/>
          <w:szCs w:val="20"/>
          <w:color w:val="auto"/>
        </w:rPr>
      </w:pPr>
    </w:p>
    <w:p>
      <w:pPr>
        <w:ind w:left="960" w:hanging="32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Domestication Proposal and the completion of the Domestication;</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Nasdaq Stock Issuance Proposal;</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convertible debt of Aptorum and of DiamiR;</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review by Nasdaq of Aptorum’s listing of additional securities application for the shares to be issued in connection with the Merger, and the continuous listing of Aptorum’s shares on Nasdaq;</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by the SEC of the effectiveness of a registration statement on Form S-4 registering the shares of Aptorum Delaware common stock issuable pursuant to the Merger Agreement;</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board of directors of the Combined Company is as agreed between DiamiR and Aptorum, and the post-merger officers and directors shall have entered into employment agreements with Aptorum;</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counterparty to the Stockholders Agreement;</w:t>
      </w:r>
    </w:p>
    <w:p>
      <w:pPr>
        <w:spacing w:after="0" w:line="225" w:lineRule="exact"/>
        <w:rPr>
          <w:rFonts w:ascii="Times New Roman" w:cs="Times New Roman" w:eastAsia="Times New Roman" w:hAnsi="Times New Roman"/>
          <w:sz w:val="18"/>
          <w:szCs w:val="18"/>
          <w:color w:val="auto"/>
        </w:rPr>
      </w:pPr>
    </w:p>
    <w:p>
      <w:pPr>
        <w:jc w:val="both"/>
        <w:ind w:left="960" w:right="20" w:hanging="320"/>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Aptorum’s obligation to complete the Merger is subject to the satisfaction or (to the extent permitted by applicable law) waiver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Aptorum at or prior to the closing of the following conditions:</w:t>
      </w:r>
    </w:p>
    <w:p>
      <w:pPr>
        <w:spacing w:after="0" w:line="207" w:lineRule="exact"/>
        <w:rPr>
          <w:sz w:val="20"/>
          <w:szCs w:val="20"/>
          <w:color w:val="auto"/>
        </w:rPr>
      </w:pPr>
    </w:p>
    <w:p>
      <w:pPr>
        <w:jc w:val="both"/>
        <w:ind w:left="960" w:right="20" w:hanging="320"/>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8" w:right="459" w:bottom="1440" w:gutter="0" w:footer="0" w:header="0"/>
        </w:sectPr>
      </w:pPr>
    </w:p>
    <w:bookmarkStart w:id="25" w:name="page26"/>
    <w:bookmarkEnd w:id="25"/>
    <w:p>
      <w:pPr>
        <w:jc w:val="both"/>
        <w:ind w:left="960" w:right="20" w:hanging="320"/>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887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Aptorum of a certificate signed on behalf of DiamiR by an executive officer of DiamiR to the effect that the conditions set forth in the two immediately preceding items have been satisfied;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DiamiR’s obligation to complete the Merger is subject to the satisfaction or (to the extent permitted by applicable law) waiver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DiamiR at or prior to the closing of the following conditions:</w:t>
      </w:r>
    </w:p>
    <w:p>
      <w:pPr>
        <w:spacing w:after="0" w:line="207" w:lineRule="exact"/>
        <w:rPr>
          <w:sz w:val="20"/>
          <w:szCs w:val="20"/>
          <w:color w:val="auto"/>
        </w:rPr>
      </w:pPr>
    </w:p>
    <w:p>
      <w:pPr>
        <w:jc w:val="both"/>
        <w:ind w:left="960" w:right="20" w:hanging="320"/>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DiamiR of a certificate signed on behalf of Aptorum by an executive officer of Aptorum to the effect that the conditions set forth in the two immediately preceding items have been satisfied;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more complete summary of the conditions that must be satisfied or waived prior to completion of the Merger, please see the section of this prospectus entitled “The Merger Agreement — Conditions to Completion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seeks to position itself to catalyze the development and improvement of a broad range of novel and repurposed therapeutics and diagnostics across a wide range of disease/therapeutic areas. Failure to achieve positive results in at least one of the programs for a Lead Project could have a material adverse effect on the Company’s prospects and business. As such, it is important that we consistently look for promising assets which have a strong strategic fit with our core corporate direction.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achieve this goal, we are implementing the following strategies:</w:t>
      </w:r>
    </w:p>
    <w:p>
      <w:pPr>
        <w:spacing w:after="0" w:line="221" w:lineRule="exact"/>
        <w:rPr>
          <w:sz w:val="20"/>
          <w:szCs w:val="20"/>
          <w:color w:val="auto"/>
        </w:rPr>
      </w:pPr>
    </w:p>
    <w:p>
      <w:pPr>
        <w:jc w:val="both"/>
        <w:ind w:left="960" w:right="20" w:hanging="320"/>
        <w:spacing w:after="0" w:line="25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expanding our portfolio with potential products that may be able to attain orphan drug designation and/or satisfy current unmet medical needs. </w:t>
      </w:r>
      <w:r>
        <w:rPr>
          <w:rFonts w:ascii="Times New Roman" w:cs="Times New Roman" w:eastAsia="Times New Roman" w:hAnsi="Times New Roman"/>
          <w:sz w:val="18"/>
          <w:szCs w:val="18"/>
          <w:color w:val="auto"/>
        </w:rPr>
        <w:t>We have selected innovations for development which we believe are of superior scientific quality, whilst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taking into account the potential market size and demand for same, for example, taking into consideration whether the relevant product can satisfy significant unmet medical needs. In particular, Aptorum Group Limited has established a Scientific Advisory Board, which helped us to select our current projects and which we expect will provide input from a scientific perspective towards any future opportunities for acquiring or licensing life science innovations. We intend to continue expanding our line of projects under development, and subject to our financial and other resource limitations, exploring acquisitions or licenses of additional products which may be able to attain orphan drug designations (e.g., rare types of cancer) or satisfy significant unmet medical needs and that show strong preclinical and/or early clinical data to provide promising opportunities for clinical and commercial success.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26" w:name="page27"/>
    <w:bookmarkEnd w:id="26"/>
    <w:p>
      <w:pPr>
        <w:jc w:val="both"/>
        <w:ind w:left="960" w:right="20" w:hanging="320"/>
        <w:spacing w:after="0" w:line="25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5516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 xml:space="preserve">Collaborating with leading academic institutions and CROs. </w:t>
      </w:r>
      <w:r>
        <w:rPr>
          <w:rFonts w:ascii="Times New Roman" w:cs="Times New Roman" w:eastAsia="Times New Roman" w:hAnsi="Times New Roman"/>
          <w:sz w:val="18"/>
          <w:szCs w:val="18"/>
          <w:color w:val="auto"/>
        </w:rPr>
        <w:t>In building and developing our product portfolio,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accessing external innovation, expertise and technology through collaboration with leading academic institutions and CROs is a vital and cost-efficient strategy. We have established strong relationships with leading academic institutions around the world and expect to continue to strengthen our collaborations by, for example, seeking to provide their affiliated Principal Investigators resources through sponsorship to conduct further research in specialty fields of interest and association with personnel connected to our current project companies, in exchange for obtaining for the Company the first right to negotiate for an exclusive license to any resulting innovations. In addition, we have entered and will continue to actively source arrangements with pharmaceutical companies, in most cases in roles as contract research organizations, to streamline the development of our projects. This may include outsourcing part of the preclinical, clinical studies and clinical supplies manufacturing to externally accredited cGLP, cGMP and cGCP standard contract research organizations or laboratories in order to attain the required studies for submission to the regulatory authorities as part of the clinical development plan. (See “Arrangements with Other Parties”)</w:t>
      </w:r>
    </w:p>
    <w:p>
      <w:pPr>
        <w:spacing w:after="0" w:line="182" w:lineRule="exact"/>
        <w:rPr>
          <w:rFonts w:ascii="Times New Roman" w:cs="Times New Roman" w:eastAsia="Times New Roman" w:hAnsi="Times New Roman"/>
          <w:sz w:val="18"/>
          <w:szCs w:val="18"/>
          <w:color w:val="auto"/>
        </w:rPr>
      </w:pPr>
    </w:p>
    <w:p>
      <w:pPr>
        <w:jc w:val="both"/>
        <w:ind w:left="960" w:right="20" w:hanging="320"/>
        <w:spacing w:after="0" w:line="26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Obtaining and leveraging government grants to fund project development. </w:t>
      </w:r>
      <w:r>
        <w:rPr>
          <w:rFonts w:ascii="Times New Roman" w:cs="Times New Roman" w:eastAsia="Times New Roman" w:hAnsi="Times New Roman"/>
          <w:sz w:val="18"/>
          <w:szCs w:val="18"/>
          <w:color w:val="auto"/>
        </w:rPr>
        <w:t>Governments across the world pay close attention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the biotechnology sector and provide support and funding. We intend to seek government support from the governments in the United States, the United Kingdom, Hong Kong, Singapore and elsewhere for our product development and to facilitate the development of some of our projects.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Aptorum’s corporate strategy has been to license cutting edge medical technologies that we deem to have substantial potential value. DiamiR’s liquid biopsy for the mild cognitively impaired patients fits with the technologies that we are looking for as it provides minimally invasive and early diagnosis of a disease that will impact an ever-growing aging population.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Other Parties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licensed early-stage programs from universities and further development work is mainly conducted in universities via SRAs. As for the development of our drug candidates, our R&amp;D Center conducts part of the CMC work. However, since our current facilities are not cGMP, cGLP or cGCP qualified, we will have to rely on CROs to conduct that type of work, if and when our drug candidates reach the level of development that requires such qualification.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authorized share capital is divided into Class A Ordinary Shares and Class B Ordinary Shares. Holders of Class A Ordinary Shares and Class B Ordinary Shares have the same rights except for voting and conversion rights. In respect of matters requiring a shareholder vote, each Class A Ordinary Share will be entitled to one vote and each Class B Ordinary Share will be entitled to 100 votes. Due to the Class B Ordinary Share’s voting power, the holders of Class B Ordinary shares have a concentration of voting power, which limits the holders of Class A Ordinary Shares’ ability to influence corporate matters. (See “Risk Factors – Risks Related to our securities – </w:t>
      </w:r>
      <w:r>
        <w:rPr>
          <w:rFonts w:ascii="Times New Roman" w:cs="Times New Roman" w:eastAsia="Times New Roman" w:hAnsi="Times New Roman"/>
          <w:sz w:val="18"/>
          <w:szCs w:val="18"/>
          <w:b w:val="1"/>
          <w:bCs w:val="1"/>
          <w:i w:val="1"/>
          <w:iCs w:val="1"/>
          <w:color w:val="auto"/>
        </w:rPr>
        <w:t>Our Class B Ordinary Shares have greater voting power than our</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and certain existing shareholders have substantial influence over our Company and their interests may not be aligned with the interests of our other shareholders.”) </w:t>
      </w:r>
      <w:r>
        <w:rPr>
          <w:rFonts w:ascii="Times New Roman" w:cs="Times New Roman" w:eastAsia="Times New Roman" w:hAnsi="Times New Roman"/>
          <w:sz w:val="18"/>
          <w:szCs w:val="18"/>
          <w:color w:val="auto"/>
        </w:rPr>
        <w:t>Each Class B Ordinary Share is convertible into one Class A Ordinary Share at any time by the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thereof. Class A Ordinary Shares are not convertible into Class B Ordinary Shares under any circumstances. (See “Description of Share Capital”)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8122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7875" cy="8122285"/>
                    </a:xfrm>
                    <a:prstGeom prst="rect">
                      <a:avLst/>
                    </a:prstGeom>
                    <a:noFill/>
                  </pic:spPr>
                </pic:pic>
              </a:graphicData>
            </a:graphic>
          </wp:anchor>
        </w:drawing>
        <w:t>Summary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some, but not all, of the risks provided below. Please carefully consider all of the information discussed in “Risk Factors” in this registration statement for a more thorough description of these and other risks.</w:t>
      </w:r>
    </w:p>
    <w:p>
      <w:pPr>
        <w:spacing w:after="0" w:line="160" w:lineRule="exact"/>
        <w:rPr>
          <w:sz w:val="20"/>
          <w:szCs w:val="20"/>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the Merger, including</w:t>
      </w:r>
    </w:p>
    <w:p>
      <w:pPr>
        <w:spacing w:after="0" w:line="227"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with DiamiR is not consummated, Aptorum’s share price could decline.</w:t>
      </w:r>
    </w:p>
    <w:p>
      <w:pPr>
        <w:spacing w:after="0" w:line="225"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to the Merger Agreement are not met, the Merger will not occur.</w:t>
      </w:r>
    </w:p>
    <w:p>
      <w:pPr>
        <w:spacing w:after="0" w:line="225" w:lineRule="exact"/>
        <w:rPr>
          <w:rFonts w:ascii="Times New Roman" w:cs="Times New Roman" w:eastAsia="Times New Roman" w:hAnsi="Times New Roman"/>
          <w:sz w:val="18"/>
          <w:szCs w:val="18"/>
          <w:color w:val="auto"/>
        </w:rPr>
      </w:pPr>
    </w:p>
    <w:p>
      <w:pPr>
        <w:ind w:left="1280" w:right="20" w:hanging="316"/>
        <w:spacing w:after="0" w:line="282"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and DiamiR shareholders may not realize a benefit from the Merger commensurate with the ownership dilution they will experience in connection with the Merger.</w:t>
      </w:r>
    </w:p>
    <w:p>
      <w:pPr>
        <w:spacing w:after="0" w:line="161" w:lineRule="exact"/>
        <w:rPr>
          <w:rFonts w:ascii="Times New Roman" w:cs="Times New Roman" w:eastAsia="Times New Roman" w:hAnsi="Times New Roman"/>
          <w:sz w:val="18"/>
          <w:szCs w:val="18"/>
          <w:color w:val="auto"/>
        </w:rPr>
      </w:pPr>
    </w:p>
    <w:p>
      <w:pPr>
        <w:ind w:left="1280" w:right="20" w:hanging="316"/>
        <w:spacing w:after="0" w:line="282"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161" w:lineRule="exact"/>
        <w:rPr>
          <w:rFonts w:ascii="Times New Roman" w:cs="Times New Roman" w:eastAsia="Times New Roman" w:hAnsi="Times New Roman"/>
          <w:sz w:val="18"/>
          <w:szCs w:val="18"/>
          <w:color w:val="auto"/>
        </w:rPr>
      </w:pPr>
    </w:p>
    <w:p>
      <w:pPr>
        <w:jc w:val="both"/>
        <w:ind w:left="1280" w:right="20" w:hanging="316"/>
        <w:spacing w:after="0" w:line="266"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Aptorum’s Preclinical and Clinical Development of Its Drug Candidates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generate revenue from product sales and may never become profitable; unless we can raise more capital through additional financings, of which there can be no guarantee.</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Aptorum’s Obtaining Regulatory Approval for Its Drug Candidates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175"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Commercialization of Aptorum’s Drug Candidates</w:t>
      </w:r>
    </w:p>
    <w:p>
      <w:pPr>
        <w:spacing w:after="0" w:line="225" w:lineRule="exact"/>
        <w:rPr>
          <w:rFonts w:ascii="Times New Roman" w:cs="Times New Roman" w:eastAsia="Times New Roman" w:hAnsi="Times New Roman"/>
          <w:sz w:val="18"/>
          <w:szCs w:val="18"/>
          <w:color w:val="auto"/>
        </w:rPr>
      </w:pPr>
    </w:p>
    <w:p>
      <w:pPr>
        <w:jc w:val="both"/>
        <w:ind w:left="960" w:right="20" w:hanging="320"/>
        <w:spacing w:after="0" w:line="258"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183"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proper internal financial reporting controls, our ability to produce accurate financial statements or comply with applicable regulations could be impaired.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various risks related to the regulatory environment of the pharmaceutical industry in the PRC.</w:t>
      </w:r>
    </w:p>
    <w:p>
      <w:pPr>
        <w:spacing w:after="0" w:line="225" w:lineRule="exact"/>
        <w:rPr>
          <w:rFonts w:ascii="Times New Roman" w:cs="Times New Roman" w:eastAsia="Times New Roman" w:hAnsi="Times New Roman"/>
          <w:sz w:val="18"/>
          <w:szCs w:val="18"/>
          <w:color w:val="auto"/>
        </w:rPr>
      </w:pPr>
    </w:p>
    <w:p>
      <w:pPr>
        <w:jc w:val="both"/>
        <w:ind w:left="960" w:right="20" w:hanging="320"/>
        <w:spacing w:after="0" w:line="258"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28" w:name="page29"/>
    <w:bookmarkEnd w:id="28"/>
    <w:p>
      <w:pPr>
        <w:jc w:val="both"/>
        <w:ind w:left="960" w:hanging="320"/>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887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directors controls a majority of our voting shares.</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auditor has expressed substantial doubt about our ability to continue as a going concern. We may be unable to obtain additional capital on favorable terms.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Risks Related to Aptorum’s Doing Business in Hong Kong </w:t>
      </w:r>
      <w:r>
        <w:rPr>
          <w:rFonts w:ascii="Times New Roman" w:cs="Times New Roman" w:eastAsia="Times New Roman" w:hAnsi="Times New Roman"/>
          <w:sz w:val="18"/>
          <w:szCs w:val="18"/>
          <w:color w:val="auto"/>
        </w:rPr>
        <w:t>(See, page 68 for more details about the risks associated with doing business in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w:t>
      </w:r>
    </w:p>
    <w:p>
      <w:pPr>
        <w:spacing w:after="0" w:line="159" w:lineRule="exact"/>
        <w:rPr>
          <w:sz w:val="20"/>
          <w:szCs w:val="20"/>
          <w:color w:val="auto"/>
        </w:rPr>
      </w:pPr>
    </w:p>
    <w:p>
      <w:pPr>
        <w:jc w:val="both"/>
        <w:ind w:left="960" w:hanging="320"/>
        <w:spacing w:after="0" w:line="261"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(See, page 73 )</w:t>
      </w:r>
    </w:p>
    <w:p>
      <w:pPr>
        <w:spacing w:after="0" w:line="179"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(See, page 76)</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1"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 (See, page 68)</w:t>
      </w:r>
    </w:p>
    <w:p>
      <w:pPr>
        <w:spacing w:after="0" w:line="179"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(See, page 69)</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58"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(See, page 70)</w:t>
      </w:r>
    </w:p>
    <w:p>
      <w:pPr>
        <w:spacing w:after="0" w:line="183"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(See, page 72)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20" w:right="479" w:bottom="1440" w:gutter="0" w:footer="0" w:header="0"/>
        </w:sectPr>
      </w:pPr>
    </w:p>
    <w:bookmarkStart w:id="29" w:name="page30"/>
    <w:bookmarkEnd w:id="29"/>
    <w:p>
      <w:pPr>
        <w:jc w:val="both"/>
        <w:ind w:left="320" w:hanging="320"/>
        <w:spacing w:after="0" w:line="261"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750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The Chinese government maintains oversight and control over offerings that are conducted overseas and/or foreign investment in mainland China-based issuers to Hong Kong-based issuers and such action may significantly limit or completely hinder our ability to offer or continue to offer Ordinary Shares to investors and cause the value of our Ordinary Shares to significantly decline or be worthless, as well as result in a material change to our operations. (See, page 73)</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 (See, page 74)</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political risks associated with conducting business in Hong Kong. (See, page 74)</w:t>
      </w:r>
    </w:p>
    <w:p>
      <w:pPr>
        <w:spacing w:after="0" w:line="225"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 (See, page 75)</w:t>
      </w:r>
    </w:p>
    <w:p>
      <w:pPr>
        <w:spacing w:after="0" w:line="17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Law of the PRC on Safeguarding National Security in the Hong Kong Special Administrative Region (the “Hong Kong National Security Law”) could impact our Hong Kong holding subsidiary. (See, page 76)</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legal system embodies uncertainties which could limit the availability of legal protections.</w:t>
      </w:r>
    </w:p>
    <w:p>
      <w:pPr>
        <w:spacing w:after="0" w:line="225"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 (See, page 80) Due to such uncertainties, we may ultimately be required to obtain approvals from Chinese authorities to list on the U.S. exchanges and offer or continue to offer securities in the future, and if required, we cannot assure you that we will be able to obtain such approval. (See, page 77).</w:t>
      </w:r>
    </w:p>
    <w:p>
      <w:pPr>
        <w:spacing w:after="0" w:line="18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overseas shareholders and/or regulators to conduct investigations or collect evidence within China.</w:t>
      </w:r>
    </w:p>
    <w:p>
      <w:pPr>
        <w:spacing w:after="0" w:line="225"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researchers, clinicians and healthcare administrators do not adopt DiamiR’s screening and diagnostic products, DiamiR will not achieve future sales growth.</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and clinical validation involves a lengthy and complex process, and DiamiR may be unable to commercialize CogniMIR® or any other products it may develop on a timely basis, or at all.</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relies on a sole supplier for some of the materials used in its tests and services, and DiamiR may not be able to find replacements or transition to alternative suppliers in a timely manner.</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DiamiR’s clinical tests do not perform as expected in its validation studies, DiamiR may not be able to achieve widespread market adoption among physicians, which would cause its operating results, reputation, and business to suffer.</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ability to commercialize the diagnostic products that DiamiR develops is dependent on its relationships with laboratory services providers and support of its products.</w:t>
      </w:r>
    </w:p>
    <w:p>
      <w:pPr>
        <w:spacing w:after="0" w:line="1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has a limited operating history, which makes it difficult to predict future prospects and financial performance.</w:t>
      </w:r>
    </w:p>
    <w:p>
      <w:pPr>
        <w:spacing w:after="0" w:line="2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DiamiR’s ability to continue as a going concern.</w:t>
      </w:r>
    </w:p>
    <w:p>
      <w:pPr>
        <w:spacing w:after="0" w:line="200" w:lineRule="exact"/>
        <w:rPr>
          <w:sz w:val="20"/>
          <w:szCs w:val="20"/>
          <w:color w:val="auto"/>
        </w:rPr>
      </w:pPr>
    </w:p>
    <w:p>
      <w:pPr>
        <w:spacing w:after="0" w:line="2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1100" w:top="1120" w:right="479" w:bottom="1440" w:gutter="0" w:footer="0" w:header="0"/>
        </w:sectPr>
      </w:pPr>
    </w:p>
    <w:bookmarkStart w:id="30" w:name="page31"/>
    <w:bookmarkEnd w:id="30"/>
    <w:p>
      <w:pPr>
        <w:jc w:val="both"/>
        <w:ind w:left="1288" w:right="20" w:hanging="316"/>
        <w:spacing w:after="0" w:line="266" w:lineRule="auto"/>
        <w:tabs>
          <w:tab w:leader="none" w:pos="1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7710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75" w:lineRule="exact"/>
        <w:rPr>
          <w:rFonts w:ascii="Times New Roman" w:cs="Times New Roman" w:eastAsia="Times New Roman" w:hAnsi="Times New Roman"/>
          <w:sz w:val="18"/>
          <w:szCs w:val="18"/>
          <w:color w:val="auto"/>
        </w:rPr>
      </w:pPr>
    </w:p>
    <w:p>
      <w:pPr>
        <w:jc w:val="both"/>
        <w:ind w:left="1288" w:right="20" w:hanging="316"/>
        <w:spacing w:after="0" w:line="266" w:lineRule="auto"/>
        <w:tabs>
          <w:tab w:leader="none" w:pos="1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75" w:lineRule="exact"/>
        <w:rPr>
          <w:rFonts w:ascii="Times New Roman" w:cs="Times New Roman" w:eastAsia="Times New Roman" w:hAnsi="Times New Roman"/>
          <w:sz w:val="18"/>
          <w:szCs w:val="18"/>
          <w:color w:val="auto"/>
        </w:rPr>
      </w:pPr>
    </w:p>
    <w:p>
      <w:pPr>
        <w:ind w:left="1288" w:right="20" w:hanging="316"/>
        <w:spacing w:after="0" w:line="282" w:lineRule="auto"/>
        <w:tabs>
          <w:tab w:leader="none" w:pos="1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DiamiR fails to comply with federal, state and foreign laboratory licensing requirements, DiamiR could lose the ability to perform its tests or experience disruptions to its business.</w:t>
      </w:r>
    </w:p>
    <w:p>
      <w:pPr>
        <w:spacing w:after="0" w:line="161"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may be unable to protect or obtain proprietary rights.</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Regulatory Development in the PRC</w:t>
      </w:r>
    </w:p>
    <w:p>
      <w:pPr>
        <w:spacing w:after="0" w:line="229"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color w:val="auto"/>
        </w:rPr>
        <w:t>The majority of our operations are in Hong Kong, a special administrative region of the PRC. Recently,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adopting new measures to extend the scope of cybersecurity reviews, and expanding the efforts in anti-monopoly enforcement, which impacts our ability to conduct out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currently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See “Risk Factors — Risks Relating to Aptorum Doing Business in Hong Kong” on page 68.</w:t>
      </w:r>
    </w:p>
    <w:p>
      <w:pPr>
        <w:spacing w:after="0" w:line="191"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7"/>
          <w:szCs w:val="17"/>
          <w:color w:val="auto"/>
        </w:rPr>
        <w:t>Additionally, on December 28, 2021, the CAC, together with certain other PRC government authorities, jointly released the revised CRM, which took effect on February 15, 2022, and replaced the previous draft issued on July 10, 2021. Pursuant to the revised CRM, (i) operators of critical information infrastructure, that intend to purchase network products and services and online platform operators that conduct data processing activities, in each case that affect or may affect national security, must be subject to the cybersecurity review, (ii) operators of network platforms seeking listing abroad that are in possession of more than one million users’ personal data must apply for the cybersecurity review, and (iii) relevant PRC government authorities may initiate cybersecurity review if they determine an operator’s network products or services or data processing activities affect or may affect national security. We do not believe we or our subsidiaries currently would be deemed to be an “operator of critical information infrastructure” or a “data processor” that are required to file for cybersecurity review by the CAC before listing in the United States, because (a) as of date of this prospectus, except for a handful of prior consultants or third party service providers we may have previously employed, none of us or our subsidiaries possesses personal information of individuals from PRC; (b) we do not operate critical information infrastructure under the revised CRM nor place any reliance on collection and processing of any personal information to maintain our business operation; (c) data processed in our business should not have a bearing on national security nor affect or may affect national security; (d) all of the data our Hong Kong subsidiaries have collected is stored in servers located in Hong Kong; and (e) as of the date of this prospectus, none of our Hong Kong subsidiaries has been informed by any PRC governmental authority of being classified as an “operator of critical information infrastructure” or a “data processor” that is subject to CAC cybersecurity review; and</w:t>
      </w:r>
    </w:p>
    <w:p>
      <w:pPr>
        <w:spacing w:after="0" w:line="9" w:lineRule="exact"/>
        <w:rPr>
          <w:sz w:val="20"/>
          <w:szCs w:val="20"/>
          <w:color w:val="auto"/>
        </w:rPr>
      </w:pPr>
    </w:p>
    <w:p>
      <w:pPr>
        <w:jc w:val="both"/>
        <w:ind w:left="8" w:hanging="8"/>
        <w:spacing w:after="0" w:line="253" w:lineRule="auto"/>
        <w:tabs>
          <w:tab w:leader="none" w:pos="3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Basic Law of the Hong Kong Special Administrative Region of the PRC, or the Basic Law, PRC laws and regulations shall not be applied in Hong Kong except for those listed in Annex III of the Basic Law (which is confined to laws relating to national defense, foreign affairs and other matters that are not within the scope of autonomy). However, there can be no assurance that we would be able to complete the applicable cybersecurity review procedures in a timely manner, or at all, if we are required to follow such procedures in the future. For details of the associated risks, see “Risk Factors — Risks Relating to Aptorum Doing Business in Hong Kong</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120" w:right="459" w:bottom="1440" w:gutter="0" w:footer="0" w:header="0"/>
        </w:sectPr>
      </w:pPr>
    </w:p>
    <w:bookmarkStart w:id="31" w:name="page32"/>
    <w:bookmarkEnd w:id="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5653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Published by the CSRC on February 17, 2023, and effected on March 31, 2023, the Trial Measures, which regulate both direct and indirect overseas offering and listing of PRC-based companies by adopting a filing-based regulatory regime. According to the Trial Measures, if the issuer meets both of the Criteria for CSRC filing, the overseas securities offering and listing conducted by such issuer shall be deemed as an indirect overseas offering and listing: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 Required from PRC Authorities other than Hong Kong Authorities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hereof, we do not meet the two criteria and the listing of our ordinary shares on a U.S. exchange are not subject to the CSRC filing procedures, based on the facts that (i) we do not, directly or indirectly, own or control any entity or subsidiary in mainland China, and do not intend to set up any subsidiary or to establish a variable interest entity (“VIE”) structure with any entity in mainland China, (ii) we are not ultimately controlled by any mainland Chinese company or individual directly or indirectly; (iii) we and our subsidiaries currently do not have any business activities, operations or assets in mainland China, and (iv) none of member of the board of directors or our senior managements in charge of our business operations or management is a citizen of mainland China or his/her habitual domicile is in mainland China. Uncertainties still exist, however, due to the possibility that laws, regulations, or policies in the PRC could change rapidly in the future. In the event that (i) we or our subsidiaries do not receive or maintain required permissions or approvals, (ii) we or our subsidiaries inadvertently conclude that such permissions or approvals are not required, or (iii) applicable laws, regulations, or interpretations change and we or our subsidiaries are required to obtain such permissions or approvals in the future, we or our subsidiaries may be unable to obtain such permissions or approvals in a timely manner, or at all, and may face regulatory actions or other sanctions from mainland China regulatory authorities if we or our subsidiaries fail to fully comply with any new regulatory requirements. Consequently, our or our subsidiaries’ operations and financial condition could be materially adversely affected and our ability to offer securities to investors could be significantly limited or completely hindered and the ordinary shares currently being offered here may substantially decline in value and become worthless. For details of the associated risks, see “About this Prospectus” above and “Risk Factors — Risks Relating to Doing Business in Hong Kong.” on page 68.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5790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Implications of Being a Foreign Private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considered a “foreign private issuer.” In its capacity as a foreign private issuer, the Company is exempted from certain rules under the U.S. Securities Exchange Act of 1934, as amended (“Exchange Act”), that impose certain disclosure obligations and procedural requirements for proxy solicitations under Section 14 of the Exchange Act. In addition, the Company’s officers, directors and principal shareholders are exempt from the reporting and “short-swing” profit recovery provisions of Section 16 of the Exchange Act and the rules under the Exchange Act with respect to their purchases and sales of our Class A Ordinary Shares. Moreover, the Company is not required to file periodic reports and financial statements with the U.S. Securities and Exchange Commission (“SEC”), as frequently or as promptly as U.S. companies whose securities are registered under the Exchange Act. In addition, the Company is not required to comply with Regulation FD, which restricts the selective disclosure of material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take advantage of these exemptions until such time as it is no longer a foreign private issuer. The Company would cease to be a foreign private issuer at such time when more than 50% of its outstanding voting securities are held by U.S. residents and any of the following three circumstances applies: (1) the majority of the Company’s executive officers or directors are U.S. citizens or residents; (2) more than 50% of its assets are located in the United States; or (3) its business is administered principally in the United States.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taken advantage of certain reduced reporting and other requirements in this prospectus. Accordingly, the information contained herein may be different than the information you receive from other public companies in which you hold equity securities.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DiamiR Merger, the Company will transfer by way of continuation to and domesticate as a Delaware corporation and it is anticipated that the Combined Company will not be considered a foreign private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on Prospectus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is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pharmaceutical industry. While we believe such information is reliable, we have not independently verified any third-party information and our internal data has not been verified by any independent source.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Accordingly, actual events or circumstances may differ materially from events and circumstances that are assumed in this information and you are cautioned not to give undue weight to such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Corporate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principal executive office is located at 17 Hanover Square, London W1S 1BN, United Kingdom. Its telephone number is +44 20 80929299.</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Company’s website is www.aptorumgroup.com. </w:t>
      </w:r>
      <w:r>
        <w:rPr>
          <w:rFonts w:ascii="Times New Roman" w:cs="Times New Roman" w:eastAsia="Times New Roman" w:hAnsi="Times New Roman"/>
          <w:sz w:val="18"/>
          <w:szCs w:val="18"/>
          <w:b w:val="1"/>
          <w:bCs w:val="1"/>
          <w:color w:val="auto"/>
        </w:rPr>
        <w:t>The information on our website is not part of this prospectus.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Issuer</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Aptorum Group Limited</w:t>
            </w:r>
          </w:p>
        </w:tc>
      </w:tr>
      <w:tr>
        <w:trPr>
          <w:trHeight w:val="414"/>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of Common Stock offered by Selling</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 to 2,060,000 shares of Class A Ordinary Shares consisting of: (i) 2,000,000 Class A Ordinary Shares</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Securityholder</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upon exercise of the October 2025 Warrants; and (ii) 60,000 Class A Ordinary Shares issuable upon</w:t>
            </w:r>
          </w:p>
        </w:tc>
      </w:tr>
      <w:tr>
        <w:trPr>
          <w:trHeight w:val="234"/>
        </w:trPr>
        <w:tc>
          <w:tcPr>
            <w:tcW w:w="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of the Placement Agent Warrants.</w:t>
            </w:r>
          </w:p>
        </w:tc>
      </w:tr>
      <w:tr>
        <w:trPr>
          <w:trHeight w:val="414"/>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Common Stock outstanding on May</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6,346,823</w:t>
            </w:r>
          </w:p>
        </w:tc>
      </w:tr>
      <w:tr>
        <w:trPr>
          <w:trHeight w:val="234"/>
        </w:trPr>
        <w:tc>
          <w:tcPr>
            <w:tcW w:w="40" w:type="dxa"/>
            <w:vAlign w:val="bottom"/>
            <w:tcBorders>
              <w:right w:val="single" w:sz="8" w:color="auto"/>
            </w:tcBorders>
          </w:tcPr>
          <w:p>
            <w:pPr>
              <w:spacing w:after="0"/>
              <w:rPr>
                <w:sz w:val="20"/>
                <w:szCs w:val="20"/>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26, 2026</w:t>
            </w:r>
          </w:p>
        </w:tc>
        <w:tc>
          <w:tcPr>
            <w:tcW w:w="780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will not receive any of the proceeds received from the Selling Securityholders. We will receive</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proceeds if any of the 2025 Warrants are exercised at the exercise prices per share (assuming the floor</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price of $2.00 per share for the October 2025 Warrants and $2.50 for the Placement Agent Warrants) for</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cash which, if exercised in full, would result in gross proceeds of approximately $4.15 million. The</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of the 2025 Warrants, and any proceeds we may receive from their exercise, are highly</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dependent on the price of our shares of our Class A Ordinary Shares and the spread between the exercise</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price of such securities and the market price of our Class A Ordinary Shares at the time of exercise. It is</w:t>
            </w:r>
          </w:p>
        </w:tc>
      </w:tr>
      <w:tr>
        <w:trPr>
          <w:trHeight w:val="234"/>
        </w:trPr>
        <w:tc>
          <w:tcPr>
            <w:tcW w:w="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possible that we may never generate any cash proceeds from the exercise of the 2025 Warrants.</w:t>
            </w:r>
          </w:p>
        </w:tc>
      </w:tr>
      <w:tr>
        <w:trPr>
          <w:trHeight w:val="414"/>
        </w:trPr>
        <w:tc>
          <w:tcPr>
            <w:tcW w:w="40" w:type="dxa"/>
            <w:vAlign w:val="bottom"/>
            <w:tcBorders>
              <w:right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intend to use any proceeds from the exercise of the 2025 Warrants for general corporate purposes</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working capital, as well as to fund expenses expected to be incurred in connection with the merger</w:t>
            </w:r>
          </w:p>
        </w:tc>
      </w:tr>
      <w:tr>
        <w:trPr>
          <w:trHeight w:val="216"/>
        </w:trPr>
        <w:tc>
          <w:tcPr>
            <w:tcW w:w="40" w:type="dxa"/>
            <w:vAlign w:val="bottom"/>
            <w:tcBorders>
              <w:right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between the Company and DiamiR Biosciences Corp. and for general working capital of the two</w:t>
            </w:r>
          </w:p>
        </w:tc>
      </w:tr>
      <w:tr>
        <w:trPr>
          <w:trHeight w:val="234"/>
        </w:trPr>
        <w:tc>
          <w:tcPr>
            <w:tcW w:w="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companies pending anticipated closing of the merger.</w:t>
            </w:r>
          </w:p>
        </w:tc>
      </w:tr>
      <w:tr>
        <w:trPr>
          <w:trHeight w:val="414"/>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See the section entitled “Risk Factors” and other information included in this prospectus for a discussion</w:t>
            </w:r>
          </w:p>
        </w:tc>
      </w:tr>
      <w:tr>
        <w:trPr>
          <w:trHeight w:val="234"/>
        </w:trPr>
        <w:tc>
          <w:tcPr>
            <w:tcW w:w="40" w:type="dxa"/>
            <w:vAlign w:val="bottom"/>
            <w:tcBorders>
              <w:right w:val="single" w:sz="8" w:color="auto"/>
            </w:tcBorders>
          </w:tcPr>
          <w:p>
            <w:pPr>
              <w:spacing w:after="0"/>
              <w:rPr>
                <w:sz w:val="20"/>
                <w:szCs w:val="20"/>
                <w:color w:val="auto"/>
              </w:rPr>
            </w:pPr>
          </w:p>
        </w:tc>
        <w:tc>
          <w:tcPr>
            <w:tcW w:w="3400" w:type="dxa"/>
            <w:vAlign w:val="bottom"/>
          </w:tcPr>
          <w:p>
            <w:pPr>
              <w:spacing w:after="0"/>
              <w:rPr>
                <w:sz w:val="20"/>
                <w:szCs w:val="20"/>
                <w:color w:val="auto"/>
              </w:rPr>
            </w:pP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factors you should consider before investing in our securities.</w:t>
            </w:r>
          </w:p>
        </w:tc>
      </w:tr>
      <w:tr>
        <w:trPr>
          <w:trHeight w:val="432"/>
        </w:trPr>
        <w:tc>
          <w:tcPr>
            <w:tcW w:w="40" w:type="dxa"/>
            <w:vAlign w:val="bottom"/>
            <w:tcBorders>
              <w:right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Nasdaq Symbol</w:t>
            </w:r>
          </w:p>
        </w:tc>
        <w:tc>
          <w:tcPr>
            <w:tcW w:w="7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Class A Ordinary Shares is listed on the Nasdaq Capital Market under the symbol APM.</w:t>
            </w:r>
          </w:p>
        </w:tc>
      </w:tr>
      <w:tr>
        <w:trPr>
          <w:trHeight w:val="219"/>
        </w:trPr>
        <w:tc>
          <w:tcPr>
            <w:tcW w:w="40" w:type="dxa"/>
            <w:vAlign w:val="bottom"/>
            <w:tcBorders>
              <w:right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780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87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you vote, you should carefully consider the risks described below, and the risk factors described in the section entitled “Risk Factors” in Aptorum’s Annual Report on Form 20-F for the year ended December 31, 2025 (the “2025 20-F”), which is incorporated by reference into this prospectus. See the sections of this prospectus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“Cautionary Statement Regarding Forward-Looking Statements,” and the other information contained in this prospectus or in the documents of Aptorum incorporated by reference into this 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Agreement with DiamiR is not consummated, Aptorum’s share price could decline.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DiamiR Merger is not consummated, Aptorum may be subject to a number of material risks, and its share price could be adversely affected, as follows:</w:t>
      </w:r>
    </w:p>
    <w:p>
      <w:pPr>
        <w:spacing w:after="0" w:line="162"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 has incurred and expects to continue to incur significant expenses related to the Merger with DiamiR, even if the DiamiR Merger is not consummated.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 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spacing w:after="0" w:line="18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Aptorum’s collaborators and other business partners and investors in general may view the failure to consummate the DiamiR Merger as a poor reflection on its business or prospects.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Aptorum’s collaborators and other business partners may seek to change or terminate their relationships with Aptorum as a result of the Merger or the failure thereof.</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Aptorum’s management team may be distracted from day-to-day operations as a result of the Merger.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could determine to delist Aptorum’s Class A ordinary shares which could have an adverse effect on the value of Aptorum’s ordinary shares and any future ability to raise capital.</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Merger Agreement, Aptorum may have to pay DiamiR a termination fee in the amount equal to the higher of (i) 70% of cash that Aptorum has as of the date of termination and (ii) $2,000,000.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Agreement are not met, the Merger will not occur.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Aptorum and DiamiR officers and directors have interests in the Merger that are different from yours and that may influence them to support or approve the Merger without regard to your interests.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fairness opinion was obtained in connection with the Merger.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 of the prospects for DiamiR based on its evaluation of its intellectual property and the valuation of DiamiR implicit in its prior financings, when compared to and in light of Aptorum’s current market value and its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shares may decline as a result of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of the Combined Company’s shares may decline as a result of the Merger for a number of reasons, including if:</w:t>
      </w:r>
    </w:p>
    <w:p>
      <w:pPr>
        <w:spacing w:after="0" w:line="225" w:lineRule="exact"/>
        <w:rPr>
          <w:sz w:val="20"/>
          <w:szCs w:val="20"/>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does not achieve the perceived benefits of the Merger as rapidly or to the extent anticipated by financial or industry analysts;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Merger on the Combined Company’s business and prospects is not consistent with the expectations of financial or industry analysts;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react negatively to the effect on the Combined Company’s business and prospects from the Merger.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Aptorum and DiamiR shareholders may not realize a benefit from the Merger commensurate with the ownership dilution they will experience in connection with the Merger.</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 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Aptorum, DiamiR and the Combined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the events described in “Risks Related to DiamiR’s Business and Operations” occur, those events could cause the potential benefits of the Merger not to be realized.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DiamiR’s business is expected to constitute a significant portion of the business of the Combined Company following the Merger. As a result, the risks described below in the section entitled “Risks Related to DiamiR’s Business and Operations” beginning on page 82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 forma financial statements are presented for illustrative purposes only and may not be an indication of the Company’s financial condition or results of operations following the completion of the Merger.</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 forma financial statements contained in this 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As 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at any time, directors may only be removed with or without cause, and only by the affirmative vote of holders of a majority in voting power of all the then-outstanding shares of Combined Company Common Stock entitled to vote thereon, voting together as a single class;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may only be called by or at the direction of the Chairman of the Combined Company Board, the Combined Company Board or the Chief Executive Officer or president or upon the written request by a majority of the shareholders entitled to vote;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Combined Company Board and for proposing matters that can be acted upon by stockholders at stockholder meetings.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 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w:t>
      </w:r>
    </w:p>
    <w:p>
      <w:pPr>
        <w:spacing w:after="0" w:line="4" w:lineRule="exact"/>
        <w:rPr>
          <w:sz w:val="20"/>
          <w:szCs w:val="20"/>
          <w:color w:val="auto"/>
        </w:rPr>
      </w:pPr>
    </w:p>
    <w:p>
      <w:pPr>
        <w:jc w:val="both"/>
        <w:ind w:firstLine="8"/>
        <w:spacing w:after="0" w:line="255"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 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Aptorum’s Preclinical and Clinical Development of Its Drug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generate revenue from product sales and may never become profitable; unless we can raise more capital through additional financings, of which there can be no guarantee.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obtain necessary regulatory approvals, and have our drugs products under development manufactured and successfully marketed, of which there can be no guarantee. We may not be able to generate a profit until our drug candidates become profitable.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we receive regulatory approval and marketing authorization for one or more of our drug candidates or one or more of any future drug candidates for commercial sale, a potential product may not generate revenue at all unless we are successful in:</w:t>
      </w:r>
    </w:p>
    <w:p>
      <w:pPr>
        <w:spacing w:after="0" w:line="162"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drug candidates and any approved products, including establishing and maintaining commercially viable supply relationships with third parties;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following regulatory approvals and marketing authorizations, either directly or with a collaborator or distributor;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drug candidates as viable treatment options;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maintaining favorable terms in any collaboration, licensing or other arrangement into which we may enter to commercialize drug candidates for which we have obtained required approvals and marketing authorizations;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IP rights, including patents, trade secrets and know-how.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a long, expensive and uncertain process, and we may terminate one or more of our current preclinical development programs.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 w:cs="Times New Roman" w:eastAsia="Times New Roman" w:hAnsi="Times New Roman"/>
          <w:sz w:val="18"/>
          <w:szCs w:val="18"/>
          <w:i w:val="1"/>
          <w:iCs w:val="1"/>
          <w:color w:val="auto"/>
        </w:rPr>
        <w:t>http://www.totalbiopharma.com/2012/07/04/4-key-benefits-drug-repositioning/</w:t>
      </w:r>
      <w:r>
        <w:rPr>
          <w:rFonts w:ascii="Times New Roman" w:cs="Times New Roman" w:eastAsia="Times New Roman" w:hAnsi="Times New Roman"/>
          <w:sz w:val="18"/>
          <w:szCs w:val="18"/>
          <w:color w:val="auto"/>
        </w:rPr>
        <w:t>). Despite the huge expenditures, only approximately 1 in 1,000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 w:cs="Times New Roman" w:eastAsia="Times New Roman" w:hAnsi="Times New Roman"/>
          <w:sz w:val="18"/>
          <w:szCs w:val="18"/>
          <w:i w:val="1"/>
          <w:iCs w:val="1"/>
          <w:color w:val="auto"/>
        </w:rPr>
        <w:t>https://academic.oup.com/biostatistics/article/20/2/273/4817524</w:t>
      </w:r>
      <w:r>
        <w:rPr>
          <w:rFonts w:ascii="Times New Roman" w:cs="Times New Roman" w:eastAsia="Times New Roman" w:hAnsi="Times New Roman"/>
          <w:sz w:val="18"/>
          <w:szCs w:val="18"/>
          <w:color w:val="auto"/>
        </w:rPr>
        <w:t>). Even after a drug is commercialized, there are just too many factors affecting the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 w:cs="Times New Roman" w:eastAsia="Times New Roman" w:hAnsi="Times New Roman"/>
          <w:sz w:val="18"/>
          <w:szCs w:val="18"/>
          <w:i w:val="1"/>
          <w:iCs w:val="1"/>
          <w:color w:val="auto"/>
        </w:rPr>
        <w:t>https://hbr.org/2014/11/the-real-cost-of-high-priced-drugs</w:t>
      </w:r>
      <w:r>
        <w:rPr>
          <w:rFonts w:ascii="Times New Roman" w:cs="Times New Roman" w:eastAsia="Times New Roman" w:hAnsi="Times New Roman"/>
          <w:sz w:val="18"/>
          <w:szCs w:val="18"/>
          <w:color w:val="auto"/>
        </w:rPr>
        <w:t>). We may determine that certain preclinical product candidates or programs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potential to warrant the allocation of resources toward them. Accordingly, we may elect to terminate our programs for and, in certain 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has discretion to terminate the development of any of our projects at any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spacing w:after="0" w:line="18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after further study, be shown to have harmful adverse effects or other characteristics that indicate they are unlikely to be effective drugs;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there can be no assurance that we will ever be able to develop suitable potential drug candidates through internal research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could materially adversely affect our future growth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defined in the clinical protocol;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study population required for statistical analysis of the trial’s primary endpoints;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and changes to the design of the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exist and will reduce the number and types of patients available to us;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enrolled in clinical trials may not complete a clinical trial;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approved therapies that are similar to our drug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experience numerous unexpected events during, or as a result of, clinical trials that could delay or prevent our ability to receive regulatory approval or commercialize our drug candidates, including but not limited to:</w:t>
      </w:r>
    </w:p>
    <w:p>
      <w:pPr>
        <w:spacing w:after="0" w:line="162"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drug development programs;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may be insufficient or slower than we anticipate or patients may drop out at a higher rate than we anticipate;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contractors and investigators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of our drug candidates for various reasons, including a lack of clinical response or a determination that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ethics committees may require that we or our investigators suspend or terminate clinical research for various reasons, including non-compliance with regulatory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cause adverse events, have undesirable side effects or other unexpected characteristics, causing us, our investigators, or regulators to suspend or terminate the trials.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spacing w:after="0" w:line="176"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that are not as broad as intended;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drug removed from the market after obtaining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restrictions on how a drug is distributed or used;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obtain reimbursement for use of a drug.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Delays in testing or approvals may result in increases in our drug development costs. We do not know whether any clinical trials will begin as planned, will need to be restructured, or will be completed on schedule, or at all.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Obtaining Regulatory Approval for Its Drug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Aptorum’s drug candidates could fail to receive regulatory approval from any of the FDA, NMPA, EMA, Health Canada or other comparable regulatory authorities for many reasons, including but not limited to:</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regulators regarding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drug candidate is safe and effective or safe, pure and potent for its proposed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 results to meet the level of statistical significance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drug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regulators regarding our interpretation of data from studies in animals or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trials of Aptorum’s drug candidates to support the submission and filing of a New Drug Application (“NDA”), or other submission or to obtain marketing approval;</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NMPA, EMA, Health Canada or a comparable regulatory authority’s finding of deficiencies related to the manufacturing processes or facilities of third-party manufacturers with whom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approval policies or regulations that render our preclinical studies and clinical data insufficient for approval.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Aptorum’s drug candidates, we may not have or be able to obtain adequate funding to complete the necessary steps for approval for Aptorum’s drug candidates or any future drug candidates.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spacing w:after="0" w:line="176"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sufficient funds required to conduct or continue a trial, including lack of funding due to unforeseen costs or other business decisions;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reports for additional analysts, reports, data, preclinical studies and clinical trials;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agreement with, or inability to comply with conditions imposed by the FDA, NMPA, EMA, Health Canada or other regulators regarding the scope or design of our clinical trials;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questions regarding interpretations of data and results and the emergence of new information regarding Aptorum’s drug candidates or other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clinical trial or inability to comply with conditions imposed by a regulatory authority regarding the scope or design of a clinical trial;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as a result of changing standards of care or the ineligibility of a site to participate in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inconclusive results of clinical trials and supportive non-clinical studies, including unfavorable results regarding effectiveness of drug candidates during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during or after treatment, resulting in incomplete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approval from IRBs or ethics committees to conduct clinical trials at their respective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enroll and retain a sufficient number of patients who meet the inclusion and exclusion criteria in a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conduct a clinical trial in accordance with regulatory requirements or our clinical protocols;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 failing to conduct the trial in accordance with regulatory requirements, withdrawing from or dropping out of a trial, or becoming ineligible to participate in a trial;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 managers to satisfy their contractual duties or meet expected deadlines;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including problems with manufacturing or timely obtaining from third parties sufficient quantities of a drug candidate for use in a clinical trial;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 or results that are inconsistent with earlier results;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risk-benefit profile or unforeseen safety issues or adverse side effects;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the termination of, a clinical trial, of any of Aptorum’s drug candidates, the commercial prospects of Aptorum’s drug candidates will be harmed, and our ability to generate product sales revenues from any 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spacing w:after="0" w:line="16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the marketing of the drug;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regulatory authorities withdraw approvals of the drug;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warnings on the label;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REMS for the drug or, if a REMS is already in place, incorporating additional requirements under the REMS, or to develop a similar strategy as required by a comparable regulatory authority;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post-market studies;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drug candidate, if approved, and could significantly harm Aptorum’s business, results of operations and prospects.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Aptorum’s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 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Aptorum’s drug candidates,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Aptorum’s drug candidates;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Aptorum’s business operations and our reputation could be damaged.</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FDA’s consent for us to pursue the 505(b)(2) development pathway for SACT-1, we may be unable to successfully complete the 505(b)</w:t>
      </w:r>
    </w:p>
    <w:p>
      <w:pPr>
        <w:spacing w:after="0" w:line="31" w:lineRule="exact"/>
        <w:rPr>
          <w:sz w:val="20"/>
          <w:szCs w:val="20"/>
          <w:color w:val="auto"/>
        </w:rPr>
      </w:pPr>
    </w:p>
    <w:p>
      <w:pPr>
        <w:ind w:right="20" w:firstLine="8"/>
        <w:spacing w:after="0" w:line="260" w:lineRule="auto"/>
        <w:tabs>
          <w:tab w:leader="none" w:pos="273"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pathway for the pediatric formulation of SACT-1 to treat neuroblastoma as planned, which would materially impact our likelihood of obtaining FDA approval.</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Note that if an entity does not address observations found in an FDA Form 483 to FDA’s satisfaction, the FDA could take enforcement action, including any of the following sanctions:</w:t>
      </w:r>
    </w:p>
    <w:p>
      <w:pPr>
        <w:spacing w:after="0" w:line="162"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recall, detention or seizure of our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pre-market approval of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pre-market approvals that have already been granted;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actions could have a material adverse effect on our reputation, business, financial condition and operating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Aptorum’s Drug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spacing w:after="0" w:line="194"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indications for which our drug candidates are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drug candidates as a safe and effective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drug candidates over alternative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NMPA, EMA, Health Canada or other comparable regulatory authorities;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NMPA, EMA, Health Canada or other comparable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drug candidates as well as competitive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their relative benefits;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and financial and other limitations on our ability to create and sustain effective sales and marketing efforts or ineffectiveness of our sales and marketing partners;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spacing w:after="0" w:line="180"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studies in animals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ability in conducting our clinical trials safely, efficiently and according to the agreed protocol;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the FDA, NMPA, EMA, Health Canada and other comparable regulatory authorities for our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manufacturing capabilities by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other parties to conduct our clinical trials swiftly and effectively;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of our drug candidates, if and when approved;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patents, trade secrets and other IP protection and regulatory exclusivity, as well as protecting our rights in our own IP;</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we do not infringe, misappropriate or otherwise violate patents, trade secrets or other IP rights of other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acceptance of our drug candidates by doctors and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reimbursement from third-party payors for our drug candidates, if and when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drug candidates and drugs;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an acceptable safety profile for our drug candidates following regulatory approval, if and when received.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Intellectual Properties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cannot be certain that patents will be issued or granted with respect to patent applications that are currently pending, or that issued or granted patents will not later be found to be invalid or unenforceable.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nullification or derivation proceedings, in court or before patent offices, or similar proceedings challenging the validity, enforceability or scope of such patents, which may result in the patent claims being narrowed or invalidated. Successful defense of its patents can constitute a material factor in a company’s expenses. According to an article published by BlueIron (</w:t>
      </w:r>
      <w:r>
        <w:rPr>
          <w:rFonts w:ascii="Times New Roman" w:cs="Times New Roman" w:eastAsia="Times New Roman" w:hAnsi="Times New Roman"/>
          <w:sz w:val="18"/>
          <w:szCs w:val="18"/>
          <w:i w:val="1"/>
          <w:iCs w:val="1"/>
          <w:color w:val="auto"/>
        </w:rPr>
        <w:t>https://finance.yahoo.com/news/current-patent-litigation-costs-between-120200165.html</w:t>
      </w:r>
      <w:r>
        <w:rPr>
          <w:rFonts w:ascii="Times New Roman" w:cs="Times New Roman" w:eastAsia="Times New Roman" w:hAnsi="Times New Roman"/>
          <w:sz w:val="18"/>
          <w:szCs w:val="18"/>
          <w:color w:val="auto"/>
        </w:rPr>
        <w:t>), depending on the value at stake, the American Intellectual Property Law Association’s “2019 Report of the Economic Survey” reported the average costs of a patent litigation are between $2.3 million to $4.0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IP rights throughout the world.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IP.</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patent applications pending of which we are not aware, but which cover similar products to the ones we are attempting to license or develop, which may result in lost time and money, as well as litigation.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prospectus. Any of these events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be sufficient to effectively protect our drug and diagnostics technology candidates and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could diminish the value of patents in general, thereby impairing our ability to protect our drug and diagnostics technology candidates.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can be filed immediately following the issuance of a patent if the patent has an effective filing date prior to March 16, 2013. A 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complete control of the preparation, filing and prosecution of patent applications, or to maintain patents, licensed by us from other parties.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Reliance on Unrelated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expect to engage contract manufacturers, the Company will be exposed to the following risks: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might be unable to reproduce the quantity and quality of the drugs we need to meet our clinical and commercial needs within the time frames when we require those drugs;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terms of our agreement with a manufacturer, we may not own, or may have to share, the IP rights to any improvements made by the manufacturer in the manufacturing process for our drug candidates;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changes in the manufacturing process of our drug candidates could cause delays resulting from the need for additional regulatory approvals.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Industry, Business and Operation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our scientific and clinical advisors, and other key executives and to attract, retain and motivate qualified personnel.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and capabilities of our organization, and we may experience difficulties in managing our growth.</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spacing w:after="0" w:line="189"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additional collaborations, strategic alliances or acquisitions or enter into royalty-seeking or sublicensing arrangements in the future, but we may not realize the benefits of these arrangements.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even if we enter into a collaboration involving any of our drug and diagnostics technology candidates, the arrangement will be subject to numerous risks, which may include the following:</w:t>
      </w:r>
    </w:p>
    <w:p>
      <w:pPr>
        <w:spacing w:after="0" w:line="162"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collaborators will likely have significant discretion in determining the efforts and resources that they will apply to a collaboration;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could independently develop, or develop with unrelated parties, drugs that compete directly or indirectly with our drugs or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with marketing and distribution rights to one or more drugs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may be terminated and, if terminated, may result the Company needing additional capital to pursue further development or commercialization of the applicable drug and diagnostics technology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own or co-own IP covering our drugs that results from our collaborating with them, and in such cases, we would not have the exclusive right to commercialize such IP;</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may result in increased operating expenses or the assumption of indebtedness or contingent liabilities;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arrangement may result in the loss of key personnel and uncertainties in our ability to maintain key business relationships.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any disclosure controls and procedures, or internal controls and procedures, no matter how well conceived and operated, can provide only reasonable, not absolute, assurance that the objectives of the control system are met.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taken actions to remediate the abovementioned material weakness:</w:t>
      </w:r>
    </w:p>
    <w:p>
      <w:pPr>
        <w:spacing w:after="0" w:line="225" w:lineRule="exact"/>
        <w:rPr>
          <w:sz w:val="20"/>
          <w:szCs w:val="20"/>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trainings to staff regarding to the preparation of financial statements in compliance with generally accepted accounting principles in the United States;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to a new and well-established accounting system to enhance effectiveness and financial and system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clear roles and responsibilities for accounting and financial reporting staff to address finance and accounting issues;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monitor the improvement on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market our products, if approved, globally; if we do, we will be subject to the risk of doing business internationally.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spacing w:after="0" w:line="16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economic weakness, including inflation or political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applicable non-U.S. tax structures and potentially adverse 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protection of our IP rights including patent rights of other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variety of foreign laws including difficulties in effective enforcement of contractual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difficulty in obtaining export licenses, tariffs and other barriers and restrictions, potentially longer payment cycles, greater difficulty in accounts receivable collection and potentially adverse tax treatment;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spacing w:after="0" w:line="16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IP and products of an acquired company, including difficulties associated with integrating new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drug and diagnostics technology candidates and regulatory approvals;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negatively impacted by the UK’s withdrawal from the EU.</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price of Aptorum Class A ordinary shares.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be sued if the products that we commercialize, market or sell cause or are perceived to cause injury or are found to be otherwise unsuitable, and may result in:</w:t>
      </w:r>
    </w:p>
    <w:p>
      <w:pPr>
        <w:spacing w:after="0" w:line="162"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those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related to product recalls;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opportunities to enter into future commercial partnership;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price of Aptorum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protect us against losses.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result in foreign currency exchange losses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that could result in losses.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our computer hardware, network security and data storage.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various risks related to the regulatory environment of the pharmaceutical industry in the PRC.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non-U.S. corporation will be a passive foreign investment company (“PFIC”) for U.S. federal income tax purposes, for such year, if either</w:t>
      </w:r>
    </w:p>
    <w:p>
      <w:pPr>
        <w:spacing w:after="0" w:line="225"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such year which produce passive income or which are held for the production of passive income is at least 50%.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interests, rents and royalties (other than rents or royalties derived from the active conduct of a trade or business) and gains from the disposition of passive assets.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 determination of whether we will be a PFIC for our current taxable year or a future year may depend in part upon how 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directors controls a majority of our voting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“controlled company” under the rules of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b w:val="1"/>
          <w:bCs w:val="1"/>
          <w:i w:val="1"/>
          <w:iCs w:val="1"/>
          <w:color w:val="auto"/>
        </w:rPr>
        <w:t xml:space="preserve"> Capital Market, we may choose to exempt our company from certain corporate governance requirements that could have an adverse effect on our public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consolidate the financial results of some of our affiliated companies or such consolidation could materially adversely affect our operating results and financial condition.</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Aptorum holds a 97.27% economic interest and 31.51% voting power in Libra, while Nautilus International Group Limited (an independent third party) (“Nautilus”) holds 68.26% of Libra’s voting power. Aptorum’s economic interest is based on owning 7,700,000 shares of Libra’s Class A Common Stock and its voting power is based on the combination of those shares and 2,000,000 shares of Libra’s Class B Common Stock that Aptorum owns. Each share of Libra’s Class A Common Stock is entitled to one vote and each share of Libra’s Class B Common Stock is entitled to ten votes. We do not consider Aptorum to be the primary beneficiary over Libra and therefore do not currently consolidate Libra into Aptorum’s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 w:cs="Times New Roman" w:eastAsia="Times New Roman" w:hAnsi="Times New Roman"/>
          <w:sz w:val="18"/>
          <w:szCs w:val="18"/>
          <w:i w:val="1"/>
          <w:iCs w:val="1"/>
          <w:color w:val="auto"/>
        </w:rPr>
        <w:t>History and Development of the Company</w:t>
      </w:r>
      <w:r>
        <w:rPr>
          <w:rFonts w:ascii="Times New Roman" w:cs="Times New Roman" w:eastAsia="Times New Roman" w:hAnsi="Times New Roman"/>
          <w:sz w:val="18"/>
          <w:szCs w:val="18"/>
          <w:color w:val="auto"/>
        </w:rPr>
        <w:t>” on page 117 for further details about Aptorum’s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The economic substance legislation of the Cayman Islands may adversely impact us or our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Aptorum’s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or perceived sale of a substantial number of Aptorum Class A ordinary shares may cause the price of Aptorum Class A ordinary shares to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any return on investment may be limited to the value of our shares.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technology or drug and diagnostics technology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are a Cayman Islands exempted company, the rights of our shareholders may be more limited than those of shareholders of a company organized in the United States.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 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w:t>
      </w:r>
    </w:p>
    <w:p>
      <w:pPr>
        <w:spacing w:after="0" w:line="1" w:lineRule="exact"/>
        <w:rPr>
          <w:sz w:val="20"/>
          <w:szCs w:val="20"/>
          <w:color w:val="auto"/>
        </w:rPr>
      </w:pPr>
    </w:p>
    <w:p>
      <w:pPr>
        <w:jc w:val="both"/>
        <w:ind w:firstLine="8"/>
        <w:spacing w:after="0" w:line="252" w:lineRule="auto"/>
        <w:tabs>
          <w:tab w:leader="none" w:pos="2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 inconsistent with a Cayman Islands’ judgment in respect of the same matters, and was not obtained in a manner which is contrary to public policy. In addition, a Cayman Islands court may stay proceedings if concurrent proceedings are being brought elsewhere.</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auditor has expressed substantial doubt about our ability to continue as a going concern. We may be unable to obtain additional capital on favorable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 active, liquid and orderly trading market for Aptorum Class A ordinary shares and our stock price may be volatile.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factors could affect our share price:</w:t>
      </w:r>
    </w:p>
    <w:p>
      <w:pPr>
        <w:spacing w:after="0" w:line="225"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net income per share, net income and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research analysts to cover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Aptorum Class A ordinary shares by us or other shareholders, or the perception that such sales may occur;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describes under this “Risk Factors” section.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Risks Related to Aptorum’s Doing Business in Hong Kong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risks associated with conducting business in Hong Kong.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 2021, the SEC adopted amendments to finalize rules implementing the submission and disclosure requirements in the HFCA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prospectus, we and our subsidiaries have not received any notice of identifying us as critical information infrastructure from any relevant PRC governmental authorities; and (vi) as of the date of this prospectus, none of us or our subsidiaries have been informed by any PRC governmental authority of any requirement for a cybersecurity review.</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Aptorum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w:t>
      </w:r>
    </w:p>
    <w:p>
      <w:pPr>
        <w:spacing w:after="0" w:line="5" w:lineRule="exact"/>
        <w:rPr>
          <w:sz w:val="20"/>
          <w:szCs w:val="20"/>
          <w:color w:val="auto"/>
        </w:rPr>
      </w:pPr>
    </w:p>
    <w:p>
      <w:pPr>
        <w:jc w:val="both"/>
        <w:ind w:firstLine="8"/>
        <w:spacing w:after="0" w:line="252" w:lineRule="auto"/>
        <w:tabs>
          <w:tab w:leader="none" w:pos="2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w:t>
      </w:r>
    </w:p>
    <w:p>
      <w:pPr>
        <w:spacing w:after="0" w:line="3" w:lineRule="exact"/>
        <w:rPr>
          <w:sz w:val="20"/>
          <w:szCs w:val="20"/>
          <w:color w:val="auto"/>
        </w:rPr>
      </w:pPr>
    </w:p>
    <w:p>
      <w:pPr>
        <w:jc w:val="both"/>
        <w:ind w:firstLine="8"/>
        <w:spacing w:after="0" w:line="253" w:lineRule="auto"/>
        <w:tabs>
          <w:tab w:leader="none" w:pos="3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prospectus, we and our subsidiaries have not collected, stored, or managed any personal information in mainland China. Therefore, we believe that the Measures is not applicable to 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 it could also result in a material change to our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political risks associated with conducting business in Hong Kong.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Nasdaq may apply additional and more stringent criteria for our continued listing because our insiders hold a large portion of our listed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w:t>
      </w:r>
    </w:p>
    <w:p>
      <w:pPr>
        <w:spacing w:after="0" w:line="1" w:lineRule="exact"/>
        <w:rPr>
          <w:sz w:val="20"/>
          <w:szCs w:val="20"/>
          <w:color w:val="auto"/>
        </w:rPr>
      </w:pPr>
    </w:p>
    <w:p>
      <w:pPr>
        <w:jc w:val="both"/>
        <w:ind w:firstLine="8"/>
        <w:spacing w:after="0" w:line="253" w:lineRule="auto"/>
        <w:tabs>
          <w:tab w:leader="none" w:pos="3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Aptorum holds a majority of Libra’s outstanding Class A ordinary shares and therefore will absorb/receive portions of its expected losses or residual returns, it was determined that Aptorum maintains a variable interest in Libra; however, as stated elsewhere in this prospectus statement, Aptorum is not the primary beneficiary of Libra.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Law of the PRC on Safeguarding National Security in the Hong Kong Special Administrative Region (the “Hong Kong National Security Law”) could impact our Hong Kong holding subsidiary.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Aptorum Class A ordinary shares may also significantly decline or become worthless.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in Hong Kong are subject to risks associated with the broader PRC that could adversely affect our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several risks associated with our operations in Hong Kong, including but not limited to:</w:t>
      </w:r>
    </w:p>
    <w:p>
      <w:pPr>
        <w:spacing w:after="0" w:line="225" w:lineRule="exact"/>
        <w:rPr>
          <w:sz w:val="20"/>
          <w:szCs w:val="20"/>
          <w:color w:val="auto"/>
        </w:rPr>
      </w:pPr>
    </w:p>
    <w:p>
      <w:pPr>
        <w:jc w:val="both"/>
        <w:ind w:left="980" w:right="20" w:hanging="324"/>
        <w:spacing w:after="0" w:line="26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 Ongoing tensions between the PRC and other countries, particularly the U.S., may affect trade policies, tariffs, and overall market conditions, which could disrupt our supply chain or future business in Hong Kong.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Capital Flow Restrictions: We are a holding company, and as such, we conduct our operations through our subsidiaries. Cash is</w:t>
      </w:r>
    </w:p>
    <w:p>
      <w:pPr>
        <w:spacing w:after="0" w:line="27" w:lineRule="exact"/>
        <w:rPr>
          <w:rFonts w:ascii="Times New Roman" w:cs="Times New Roman" w:eastAsia="Times New Roman" w:hAnsi="Times New Roman"/>
          <w:sz w:val="18"/>
          <w:szCs w:val="18"/>
          <w:color w:val="auto"/>
        </w:rPr>
      </w:pPr>
    </w:p>
    <w:p>
      <w:pPr>
        <w:jc w:val="both"/>
        <w:ind w:left="9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Kong’s Evolving Legal Environment: The integration of certain aspects of Hong Kong’s governance with the PRC’s legal framework has created uncertainties regarding autonomy, regulatory consistency, and legal protections.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Up to 31 December 2025, Aptorum has transferred the noted amount to the referenced subsidiary:</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Aptus Management Ltd</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62,719,786.14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Aptorum Medical Ltd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1,624,166.03</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Therapeutics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15,369,903.99</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Acticule Life Sciences Ltd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4,972,079.05</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Innovations Holding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15,087.11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Aptorum Innovations Holding Pte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442,201.61</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Group LLC</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4,337.75</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Claves Life Sciences Ltd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331,959.92</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Scipio Life Sciences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151,710.07</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Signate Life Sciences Ltd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319,385.76</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Pharmaceutical Dev. Ltd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7,300.00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adverse developments related to our operations in Hong Kong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shareholders and/or regulators to conduct investigations or collect evidence within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ceased to qualify as an “emerging growth company” and will incur increased costs as a result.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Risks Related to DiamiR’s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DiamiR may not complete the Merger or may be delayed in completing the Merger.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researchers, clinicians and healthcare administrators do not adopt DiamiR’s screening and diagnostic products, DiamiR will not achieve future sales growth.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success of DiamiR’s future sales growth that it continues to work with key opinions leaders in the field, educate healthcare specialists about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spacing w:after="0" w:line="20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clinical validation involves a lengthy and complex process, and DiamiR may be unable to commercialize 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other products it may develop on a timely basis, or at all.</w:t>
      </w:r>
    </w:p>
    <w:p>
      <w:pPr>
        <w:spacing w:after="0" w:line="20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It takes significant time to fully develop and commercialize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risk of early neurodegeneration, and therefore its launch may be delayed or may not be successful. There can be no assurance that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w:t>
      </w:r>
    </w:p>
    <w:p>
      <w:pPr>
        <w:spacing w:after="0" w:line="5"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commercialize competing products faster than DiamiR is able to do so. If DiamiR is unable to commercialize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 may not be able to carry out its business.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relies on a sole supplier for some of the materials used in its tests and services, and DiamiR may not be able to find replacements or transition to alternative suppliers in a timely manner.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If DiamiR cannot enter into and maintain new clinical collaborations, its efforts to commercialize 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and its development of other products could be delayed.</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DiamiR’s ability to commercialize the diagnostic products that DiamiR develops is dependent on its relationships with laboratory services providers and support of its products.</w:t>
      </w:r>
    </w:p>
    <w:p>
      <w:pPr>
        <w:spacing w:after="0" w:line="15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DiamiR relies on third-party providers to draw the donor blood samples and prepare plasma in accordance with its protocol. DiamiR’s business will suffer if these service providers do not support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the other products that DiamiR may develop. A lack of acceptance of DiamiR’s products by these service providers could result in lower test volume. DiamiR’s business may suffer from the repetition of the process and increased costs.</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intends to market some of its tests as LDTs, and future changes in FDA enforcement discretion for LDTs could subject its operations to much more significant regulatory requirements.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DiamiR has a limited operating history, which makes it difficult to predict future prospects and financial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spacing w:after="0" w:line="183"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relationships with key customers and strategic partners that will be necessary to optimize the market value of its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respond to emerging trends in DiamiR’s market areas;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sufficient capital in the public and/or private markets;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DiamiR’s ability to continue as a 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DiamiR fails to raise additional capital, its ability to implement its business model and strategy could be compromised.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DiamiR borrows money to expand its business, the likelihood that investors may lose some or all of their investment may increase.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uncertainty in global economic conditions may negatively impact DiamiR’s business, operating results or financial condition.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faces significant, evolving competition which, if it fails to properly address, could adversely affect its business, results of operations, and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DiamiR may engage in future acquisitions, which may be expensive and time consuming and from which it may not realize anticipated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cash as acquisition currency may adversely affect interest or investment income, which may in turn adversely affect its earnings and/or earnings per share;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fully or effectively integrating any acquired technologies or software products into its current products and technologies, which would prevent DiamiR from realizing the intended benefits of the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predicting and responding to issues related to product transition such as development, distribution and client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adverse effect of such acquisitions on existing relationships with third party partners and suppliers of technologies and services;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staff or clients of the acquired company might not accept new ownership and may transition to different technologies or attempt to renegotiate contract terms or relationships, including maintenance or support agreements;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entering geographic and business markets in which DiamiR has no or limited prior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acquired operations due to geographical distance and language and cultural differences;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acquired assets become impaired, requiring DiamiR to take a charge to earnings which could be significant.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failure to successfully integrate acquired businesses or technology could, for any of these reasons, have an adverse effect on DiamiR’s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DiamiR’s operations are dependent upon its key personnel. If such personnel were to leave unexpectedly, DiamiR may not be able to execute its business plan.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has identified material weaknesses in its internal control over financial reporting which, if not corrected, could affect the reliability of its financial statements, and have other adverse consequences.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Given that DiamiR has been operating as a private company, it did not have the necessary formalized processes to effectively implement review controls within its internal control over financial reporting.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could cause a violation of the Health Insurance Portability and Accountability Act (HIPAA) and/or state consumer privacy laws, breach of customer and patient privacy, or other negative impacts.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Risks Related to DiamiR’s Products and Service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researchers, clinicians and healthcare administrators do not adopt DiamiR’s screening and diagnostic products, it will not achieve future sales growth.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success of DiamiR’s future sales growth that it continues to work with key opinions leaders in the field, educate healthcare specialists about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spacing w:after="0" w:line="20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clinical validation involves a lengthy and complex process, and DiamiR may be unable to commercialize 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other products it may develop on a timely basis, or at all.</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It takes significant time to fully develop and commercialize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risk of early neurodegeneration, and therefore its launch may be delayed or may not be successful. There can be no assurance that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it may not be able to carry out its business.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DiamiR’s research and development efforts will be hindered if it is not able to acquire or contract with third parties for access to additional plasma samples.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relies on a sole supplier for some of the materials used in its tests and services, and it may not be able to find replacements or transition to alternative suppliers in a timely manner.</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If DiamiR cannot enter into and maintain new clinical collaborations, its efforts to commercialize 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and its development of other products could be delayed.</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DiamiR’s clinical tests do not perform as expected in its validation studies, it may not be able to achieve widespread market adoption among physicians, which would cause its operating results, reputation, and business to suffer</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DiamiR’s ability to commercialize the diagnostic products that it develops is dependent on its relationships with laboratory services providers and support of its products.</w:t>
      </w:r>
    </w:p>
    <w:p>
      <w:pPr>
        <w:spacing w:after="0" w:line="15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DiamiR relies on third-party providers to draw the donor blood samples and prepare plasma in accordance with its protocol. The Company’s business will suffer if these service providers do not support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the other products that it may develop. A lack of acceptance of its products by these service providers could result in lower test volume. DiamiR’s business may suffer from the repetition of the process and increased costs.</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If DiamiR cannot enter into new clinical study collaborations, its product development and subsequent commercialization could be delayed.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DiamiR recognizes that there are inherent risks associated with third-party relationships, which may adversely affect its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DiamiR is unable to use or maintain its trademarks and trade names or build brand recognition in its markets of interest, its business may be adversely affected.</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DiamiR’s US Federal trademarks for the marks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DiamiR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DiamiR may be unable to develop new products and services or acquire products and services on favorable terms.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DiamiR’s laboratory becomes inoperable for any reason, DiamiR will be unable to perform its testing and its business will be harmed.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DiamiR’s landlord does not renew its lease, its clinical and testing operations will be halted until DiamiR locates and sets up a new laboratory.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Affecting DiamiR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may now or in the future be subject to laws and regulations relating to laboratory testing, which could materially adversely impact its ability to offer its products or services.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its product candidates are approved, DiamiR may be adversely affected by healthcare policy changes, including additional healthcare reform and changes in managed healthcare.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processes applicable to its products and operations are expensive, time-consuming, and uncertain and may prevent DiamiR from obtaining required authorizations for the commercialization of its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FDA announced in May 2025 that it will not appeal this decision. If the FDA changes its position on this appeal, and wins on appeal, risks associated with the new landscape of LDTs include but are not limited to:</w:t>
      </w:r>
    </w:p>
    <w:p>
      <w:pPr>
        <w:spacing w:after="0" w:line="162"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inability to implement quality standards included in the new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inability to implement all FDA requirements for LDTs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at the FDA for review of submission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regulations being adopted by the FDA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timeline to product launch, delaying revenue for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oversight resulting in delays for product launch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development and regulatory compliance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costs may arise from: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expansive validation study design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regulatory compliance talent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statistical experts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costs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is also subject to various U.S. healthcare related laws regulating sales, contracting, marketing, and other business arrangements and the use and disclosure of individually identifiable health information. These include but are not limited to:</w:t>
      </w:r>
    </w:p>
    <w:p>
      <w:pPr>
        <w:spacing w:after="0" w:line="162" w:lineRule="exact"/>
        <w:rPr>
          <w:sz w:val="20"/>
          <w:szCs w:val="20"/>
          <w:color w:val="auto"/>
        </w:rPr>
      </w:pPr>
    </w:p>
    <w:p>
      <w:pPr>
        <w:jc w:val="both"/>
        <w:ind w:left="980" w:hanging="324"/>
        <w:spacing w:after="0" w:line="255"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spacing w:after="0" w:line="176"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DiamiR’s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corrective field actions for DiamiR’s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reports to FDA or other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suspension of marketing clearances or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for investigations;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DiamiR’s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or debarment from participation in federal health care programs such as Medicare and Medicaid.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in combination or alone, could prevent DiamiR from marketing, distributing and selling DiamiR’s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DiamiR fails to comply with federal, state and foreign laboratory licensing requirements, DiamiR could lose the ability to perform its tests or experience disruptions to its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Risks Related to DiamiR’s Intellectual Property and Product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DiamiR may be unable to protect or obtain proprietary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claims by other companies could result in costly disputes and could limit DiamiR’s ability to sell its products.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successfully brought against DiamiR, DiamiR may incur substantial liabilities and may have to limit or cease sales of its products.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trademarks, service marks and trade names of others, which are the property of their respective owners. Solely for convenience, the trademarks, service marks, logos and trade names referred to in this prospectus are included without the ® and ™ symbols.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any of the Class A Ordinary Shares by the Selling Securityholders. We have agreed to pay all expenses relating to registering the Class A Ordinary Shares covered by this prospectus. The Selling Securityholders will pay any brokerage commissions and/or similar charges incurred in connection with the sale of the Class A Ordinary Shares covered 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receive proceeds if any of the 2025 Warrants are exercised at the exercise prices per share (assuming the exercise price of $2.00 per share for the October 2025 Warrants and $2.50 for the Placement Agent Warrants) for cash which, if exercised in full, would result in gross proceeds of approximately $4.15 million. The exercise of the 2025 Warrants, and any proceeds we may receive from their exercise, are highly dependent on the price of our shares of our Class A Ordinary Shares and the spread between the exercise price of such securities and the market price of our Class A Ordinary Shares at the time of exercise. However, we cannot predict when and in what amounts or if the 2025 Warrants will be exercised by payments of cash and it is possible that the 2025 Warrants may expire and never be exercised, in which case we would not receive any cash proceeds.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use any proceeds received by us from the cash exercise of the 2025 Warrants, if any, for general corporate purposes and working capital. Additionally, we will use some of net proceeds from such exercises, if any, to fund expenses expected to be incurred in connection with the Merger, including DiamiR’s general working capital pending anticipated closing of the Merger.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ability to continue funding our existing and future operations is not dependent upon receiving cash proceeds from the exercise of any 2025 Warrants, nor is the closing of the Merger contingent upon receiving such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amounts and timing of the Company’s actual expenditures will depend upon numerous factors. The Company may also use a portion of the net proceeds to acquire, license and invest in complementary products, technologies, or additional businesses; however, we currently have no agreements or commitments with respect to any such transaction.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represents the Company’s current intentions based upon the Company’s present plans and business conditions to allocate and use the net proceeds of this offering. However, the nature, amounts and timing of the Company’s actual expenditures may vary significantly depending on numerous factors. As a result, the Company’s management has and will retain broad discretion over the allocation of the net proceeds from this offering. The Company may find it necessary or advisable to use the net proceeds from this offering for other purposes, and it will have broad discretion in the application of net proceeds from this offering. If an unforeseen event occurs or business conditions change, the Company may use the proceeds of this offering differently than as described in this prospectus. Pending its use of the net proceeds from this offering, the Company intends to invest the net proceeds in a variety of capital preservation investments, including short-term, investment-grade, interest-bearing instruments, and U.S. government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never declared or paid cash dividends to its shareholders, and we do not intend to pay cash dividends in the foreseeable future. The Company intends to reinvest any earnings in developing and expanding our business. Any future determination relating to the Company’s dividend policy will be at the discretion of our Board of Directors and will depend on a number of factors, including future earnings, the Company’s financial condition, operating results, contractual restrictions, capital requirements, business prospects, the Company’s strategic goals and plans to expand the Company’s business, applicable law and other factors that the Company’s Board of Directors may deem relevant.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Cayman Islands law, dividends may be declared and paid only out of funds legally available therefor, namely out of either profit or our share premium account, and provided further that a dividend may not be paid if this would result in the Company being unable to pay its debts as they fall due in the ordinary course of business.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“Risk Factors – We have not paid dividends in the past and do not expect to pay dividends in the future, and any return on investment may be limited to the value of our shares” and “Description of Share Capital – Dividends”)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252" w:lineRule="exact"/>
        <w:rPr>
          <w:sz w:val="20"/>
          <w:szCs w:val="20"/>
          <w:color w:val="auto"/>
        </w:rPr>
      </w:pPr>
    </w:p>
    <w:p>
      <w:pPr>
        <w:ind w:left="1060" w:right="40" w:hanging="350"/>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as derived from our consolidated financial statements as of December 31, 2025, which are incorporated by reference into this prospectus supplement; and</w:t>
      </w:r>
    </w:p>
    <w:p>
      <w:pPr>
        <w:spacing w:after="0" w:line="215" w:lineRule="exact"/>
        <w:rPr>
          <w:rFonts w:ascii="Times New Roman" w:cs="Times New Roman" w:eastAsia="Times New Roman" w:hAnsi="Times New Roman"/>
          <w:sz w:val="18"/>
          <w:szCs w:val="18"/>
          <w:color w:val="auto"/>
        </w:rPr>
      </w:pPr>
    </w:p>
    <w:p>
      <w:pPr>
        <w:jc w:val="both"/>
        <w:ind w:left="1060" w:right="20" w:hanging="350"/>
        <w:spacing w:after="0" w:line="261"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reflect (1) the issuance of 2,000,000 Class A Ordinary Shares at the purchase price of US$2.00 per Class A Ordinary Shares upon exercise of Investor Warrant Shares, and (2) the issuance of 60,000 Class A Ordinary Shares at the purchase price of US$2.50 per Class A Ordinary Shares upon exercise of Placement Agent Warrant and after deducting placement agent fees and expenses and estimated offering expenses payable by 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information set forth in the table below is illustrative only and will be adjusted based on the actual public offering price and other terms of this offering as determined at pricing.</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and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 of Aptorum</w:t>
      </w:r>
      <w:r>
        <w:rPr>
          <w:rFonts w:ascii="Times New Roman" w:cs="Times New Roman" w:eastAsia="Times New Roman" w:hAnsi="Times New Roman"/>
          <w:sz w:val="18"/>
          <w:szCs w:val="18"/>
          <w:color w:val="auto"/>
        </w:rPr>
        <w:t>” and Aptorum’s consolidated financial statements and related notes thereto included in this registration statement of which this prospectus forms a part for the year ended December 31, 2025.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USD, except for share and per share data, unless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Forma</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7,602,891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debts, including amount due to a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and interest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3,418,500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3,803,680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Contingently redeemable warrants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temporary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6,346,823 Class A ordinary shares outstanding on actual basis, 8,406,823 Class A ordinary</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on a pro forma basis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97,000,188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101,503,168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(73,792,798)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(73,792,798)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(92,310)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Equity attributable to shareholders of Aptorum Group Limited</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23,115,160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27,618,160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attributable to non-controlling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(9,370,613)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13,744,547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18,247,547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17,595,277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21,745,227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reflects the issuance of 2,000,000 Class A Ordinary Shares at the purchase price of US$2.00 per Class A Ordinary Shares upon exercise of Investor Warrant Shares, and the issuance of 60,000 Class A Ordinary Shares at the purchase price of US$2.50 per Class A Ordinary Shares upon exercise of Placement Agent Warrant and after deducting the estimated offering expenses payable by us.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fair value of warrant liability as of exercise date was the same as the fair value as of December 31,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APTORUM’S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Currency risk is the risk that the value of financial assets or liabilities will fluctuate due to changes in foreign exchange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 sensitivity analysis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2024 and 2023, the Group has no significant foreign currency risk because most of the transactions are denominated in Hong Kong dollar or the United States dollar. Since the Hong Kong dollar is pegged to the United States dollar, the Group’s exposure to foreign currency risk in respect of the balances denominated in Hong Kong dollars is considered to be minimal.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which potentially subject the Group to concentrations of credit risk consist principally of bank deposits and balances.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takes on exposure to credit risk on cash and restricted cash balances majority held with HSBC for the purposes of payments of Group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risk of default is considered minimal as the Group considers HSBC is well established with high credit rating.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raising funds to meet commitments associated with financial assets and liabilities. Liquidity risk may result from an inability to sell a financial asset quickly at an amount close to its fair value.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Prior to 2017, the Group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risk arises from the possibility that changes in interest rates will affect future cash flows or the fair values of financial instruments.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 sensitivity analysis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cash deposits and bank loan held with banks are exposed to interest rate risk. However, management considers the risk on cash deposits to be minimal as they are short-term with terms less than one month.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regard to interest rate sensitivity on our bank loans, we present the sensitivity analysis below based on the exposure to interest rates for interest bearing bank loans with variable interest rates as of December 31, 2025. The analysis is prepared assuming that those balances outstanding as of December 31, 2025 were outstanding for the whole financial year. A 1.0% increase or decrease which represents the management’s assessment of the reasonably possible change in interest rates is used. Assuming no change in the outstanding balance of our existing interest bearing bank loans balances with floating interest rates as of December 31, 2025, a 1.0% increase or decrease in each applicable interest rate would increase or decrease [$30,000] to our interest expense for the year ended December 31, 2025. We have not used any derivative financial instruments to manage our interest risk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recent years, inflation has not had a material impact on our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APTORUM’S OPERATING AND FINANCIAL REVIEW AND PROSPECTS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of Company’s financial condition and results of operations is based upon and should be read in conjunction with our consolidated financial statements and their related notes included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2023, filed with the SEC on April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goal is to develop a broad range of novel and repurposed therapeutics and diagnostics technology across a wide range of disease/therapeutic areas. Key components of our strategy for achieving this goal include:</w:t>
      </w:r>
    </w:p>
    <w:p>
      <w:pPr>
        <w:spacing w:after="0" w:line="189" w:lineRule="exact"/>
        <w:rPr>
          <w:sz w:val="20"/>
          <w:szCs w:val="20"/>
          <w:color w:val="auto"/>
        </w:rPr>
      </w:pPr>
    </w:p>
    <w:p>
      <w:pPr>
        <w:ind w:left="1060" w:hanging="350"/>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therapeutic and diagnostic innovations across a wide range of disease/therapeutic areas;</w:t>
      </w:r>
    </w:p>
    <w:p>
      <w:pPr>
        <w:spacing w:after="0" w:line="279"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expanding our portfolio with potential products that may be able to attain orphan drug designation and/or satisfy current unmet medical needs;</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leading academic institutions and CROs;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in-house pharmaceutical development center;</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management’s expertise, experience and commercial networks;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leveraging government grants to fund project development.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devoted a substantial portion of the proceeds from our offerings to our Lead Projects. Our Lead Projects are ALS-4 and SACT-1.</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2023, the Company made a decision to streamline its operations by terminating clinic services and suspending non-lead R&amp;D projects. The Company also ceased exploring potential synergies with Accelerate Technologies Pte Ltd., 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spacing w:after="0" w:line="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Company continues to believe that Plaintiff’s claims have no merit. As such, the Company will continue to vigorously defend against Plaintiff’s claims. At this time, it is too early to estimate the costs and expenses of defending the lawsuit.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agreed in the October Purchase Agreement that it would not issue any Class A ordinary shares, or Ordinary Share Equivalents for thirty (30) calendar days following the closing of the October 2025 Offering, subject to certain exceptions.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Offerings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Sales of convertible notes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DiamiR Biosciences Corp.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 2025 termination date of the Merger Agreement and other related agreements to March 31, 2026, and then again until June 30, 2026. The parties signed amendments to the Management Services Agreement reflecting the extended term (the “Amendment”); the first Amendment also increased the monthly Management Service Fee to $105,000 per month.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DiamiR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include:</w:t>
      </w:r>
    </w:p>
    <w:p>
      <w:pPr>
        <w:spacing w:after="0" w:line="252" w:lineRule="exact"/>
        <w:rPr>
          <w:sz w:val="20"/>
          <w:szCs w:val="20"/>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consultant compensation related expenses, including salaries, benefits and share based compensation expenses;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payments to CROs, investigators and clinical trial sites that conduct our clinical studies;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IP rights which did not meet the criteria of capitalization under the U.S. GAAP;</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associated with sponsored research programs with various universities and research institutions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office leases and other overhead expenses; and</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patent applications.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incurred totaled $0.6 million, $2.2 million and $5.2 million for the year ended December 31, 2025, 2024 and 2023, respectively, representing approximately 3.8%, 55.7% and 46.6% of our total operating expenses for the respective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2025, and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(352,879)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(573,059)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(669,486)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(1,062,346)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170,756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(272,609)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(3,940,541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 in relation to warrant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(153,189)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of long-term investment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(95,713)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928,461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Sundry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(1,376,430)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(4,157,737)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revenue and cost for both year due to reallocate resources towards the development of the Company’s leading projects.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 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Contracted research organizations services</w:t>
            </w:r>
          </w:p>
        </w:tc>
        <w:tc>
          <w:tcPr>
            <w:tcW w:w="4540" w:type="dxa"/>
            <w:vAlign w:val="bottom"/>
            <w:gridSpan w:val="2"/>
            <w:shd w:val="clear" w:color="auto" w:fill="CCEEFF"/>
          </w:tcPr>
          <w:p>
            <w:pPr>
              <w:ind w:left="4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166,972</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Sponsored research</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39,972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251,567</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Consultation</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 of an intangible asset</w:t>
            </w: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128,128</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properties, plant and equipment</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1,421,782</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R&amp;D expenses</w:t>
            </w:r>
          </w:p>
        </w:tc>
        <w:tc>
          <w:tcPr>
            <w:tcW w:w="4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141,868</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43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352,879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2,165,161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520" w:type="dxa"/>
            <w:vAlign w:val="bottom"/>
          </w:tcPr>
          <w:p>
            <w:pPr>
              <w:spacing w:after="0"/>
              <w:rPr>
                <w:sz w:val="2"/>
                <w:szCs w:val="2"/>
                <w:color w:val="auto"/>
              </w:rPr>
            </w:pPr>
          </w:p>
        </w:tc>
        <w:tc>
          <w:tcPr>
            <w:tcW w:w="432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General and administrative fees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208,348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and rates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126,336</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97,253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Travelling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335,616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prepayment and 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222,069</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14,802</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General and Administrative Fees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573,059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669,486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professional fees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legal and professional fees were $1,062,346 and $803,285, respectively. The increase in legal and professional fees was primarily attributed to the non-routine activities such as potential merger activity that were present in the same period last year. Such non-routine exercises in the current year have resulted in an increase in legal and professional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other operating income of $170,756 mainly represent the exchange gain arising on change in foreign exchange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sets forth a summary of other (expenses)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for the year ended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220" w:type="dxa"/>
            <w:vAlign w:val="bottom"/>
          </w:tcPr>
          <w:p>
            <w:pPr>
              <w:spacing w:after="0"/>
              <w:rPr>
                <w:sz w:val="21"/>
                <w:szCs w:val="21"/>
                <w:color w:val="auto"/>
              </w:rPr>
            </w:pPr>
          </w:p>
        </w:tc>
        <w:tc>
          <w:tcPr>
            <w:tcW w:w="5580" w:type="dxa"/>
            <w:vAlign w:val="bottom"/>
            <w:gridSpan w:val="2"/>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44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 in relation to warrant</w:t>
            </w:r>
          </w:p>
        </w:tc>
        <w:tc>
          <w:tcPr>
            <w:tcW w:w="5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(153,189)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690,000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long-term investment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(95,713)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(146,924)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928,461</w:t>
            </w: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income</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564</w:t>
            </w:r>
          </w:p>
        </w:tc>
      </w:tr>
      <w:tr>
        <w:trPr>
          <w:trHeight w:val="210"/>
        </w:trPr>
        <w:tc>
          <w:tcPr>
            <w:tcW w:w="4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44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441,098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(217,196</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4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2830"/>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Net loss attributable to Aptorum Group Limited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net loss attributable to Aptorum Group Limited (excluding net loss attributable to non-controlling interests) was $1,363,270 and $4,267,806,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2024, and 2023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services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431,378</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healthcare services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(420,812)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(2,195,161)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(5,198,329)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(669,486)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(1,930,637)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(803,285)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(272,609)</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(1,067,690)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(3,940,541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(11,155,629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investments in marketable securities,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from fair value change of the long-term investments,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6,431,088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of long-term investment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(146,924)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928,461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123,015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Sundry income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36,784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(4,157,737)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(4,340,975)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healthcare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healthcare services was $nil and $420,812 for the years ended December 31, 2024, and 2023, which related to the cost incurred by clinic.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cost of healthcare services was attributed to the strategic decision to suspend clinic services in the second quarter of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research and development expenses for the years ended December 31, 2024, and 2023. Before the Merger Agreement was terminated, we determined it was best to focus all of our attention and resources on completing the Merger and therefore paused the majority of our R&amp;D activities during that time; following the termination of the Merger Agreement in the fourth quarter of fiscal 2024, we determined that searching for other business combination opportunities could maximize shareholder value, and R&amp;D focused on non-lead products remain suspended.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Contracted research organizations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166,972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1,387,534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Sponsored research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1,071,455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1,207,188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 of an intangible asset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properties,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1,421,782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363,139</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R&amp;D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141,868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632,367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fees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Merger, which has since been abandoned.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893,437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and rates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213,701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Travelling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59,874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53,799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335,616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474,746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prepayment and 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186,098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Fees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professional fees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color w:val="auto"/>
        </w:rPr>
        <w:t>Net loss attributable to Aptorum Group Limited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net loss attributable to Aptorum Group Limited (excluding net loss attributable to non-controlling interests) was $4,267,806 and $2,824,647,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176"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 or private lender;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Summary of Cash Flows for the Years Ended December 31, 2025, and 2024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(1,836,546)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(1,189,734)</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58,621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4,415,199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(2,578,653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(1,131,113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amounted to $1.8 million and $1.2 million for the years ended December 31, 2025, and 2024. The net cash used in operating activities increase due to the decrease in government grant received due to pausing for majority of the R&amp;D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amounted to nil and $0.1 million for the years ended December 31, 2025, and 2024. The decrease in net cash provided by investing activities was due to the decrease in proceed from disposal of fixed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amounted to $4.4 and $nil for the year ended December 31, 2025, and 2024. The increase in net cash inflow from financing activities is attributed to the placing of shares during the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Summary of Cash Flows for the Years Ended December 31, 2024, and 2023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(1,189,734)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(7,724,364)</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58,621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624,767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4,092,068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(1,131,113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(3,007,529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capital expenditures were $nil, $3,000 and $0.2 million for the years ended December 31, 2025, 2024 and 2023, respectively. These capital expenditures were incurred primarily for investments in facilities, leasehold improvements, equipment and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One to</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Three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five years</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354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3,418,500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3,418,500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3,443,073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3,443,986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Operating lease commitments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an operating lease for laboratory as of December 31, 2025. Operating lease commitments reflect our obligation to make payments under these operating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2025, and the respective credit line has been extended further to August 2026.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PAYMENT OBLIGATIONS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Group does not have any non-cancellable purchase commitments.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has contingency payment obligations under each of the license agreements, such as milestone payments, royalties, research and development funding, if certain condition or milestone is met.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Drug molecules: up to the conditions and milestones of</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entering phase 1 to before first commercial sale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First commercial sale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amount more than certain threshold in a year</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8,720,000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Research and Development, Patents and Licenses, etc.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2025 20-F, the Company has 2 exclusively licensed technologies in the area of infectious diseases, and diagnostics. In addition, the Company is actively developing 1 proprietary technology.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Group incurred $562,269, $2,195,161 and $5,198,329, respectively, on research and development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Trend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Critical Accounting Estimates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Aptorum is a Cayman Islands holding company with operations conducted through our subsidiaries. We have determined that we have one variable interest entity: Libra, according to the U.S. GAAP. In accordance with ASC 810, we concluded that we are not the primary beneficiary of Libra and therefore we do not consolidate its financial statements into ours. On January 1, 2022, one of Aptorum’s subsidiaries entered into an administrative management services agreement with Libra, pursuant to which Aptorum’s subsidiaries were to provide administrative services such as book keeping, human resources function and administrative functions to Libra; however, Aptorum and Libra mutually agreed to terminate the administrative management service agreement effective as of March 31, 2023.</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Previously, we determined that we were the primary beneficiary of a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13, 2017, ordinary resolutions were passed at an extraordinary general meeting of the Company approving (the “Conversions”):</w:t>
      </w:r>
    </w:p>
    <w:p>
      <w:pPr>
        <w:spacing w:after="0" w:line="27" w:lineRule="exact"/>
        <w:rPr>
          <w:sz w:val="20"/>
          <w:szCs w:val="20"/>
          <w:color w:val="auto"/>
        </w:rPr>
      </w:pPr>
    </w:p>
    <w:p>
      <w:pPr>
        <w:jc w:val="both"/>
        <w:ind w:firstLine="8"/>
        <w:spacing w:after="0" w:line="253" w:lineRule="auto"/>
        <w:tabs>
          <w:tab w:leader="none" w:pos="2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19, 2017, we changed our name from APTUS Holdings Limited to our current name, Aptorum Group Limited.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23, 2018, Jurchen transferred 44,615 Class A ordinary shares and 401,537 Class B ordinary shares to CGY Investments Limited, a company incorporated in Hong Kong and which we deem Mr. Darren Lui jointly controls and/or of which he has substantial influence on the disposition rights and voting rights of such shares. Following this transfer, Jurchen owns approximately 33% and 72% of Aptorum Class A ordinary shares and Class B ordinary shares,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17, 2018, the Company consummated its IPO of 76,142 Class A ordinary shares. The shares were sold at a price of $158 per share, generating gross proceeds to the Company of approximately $12,030,420.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June 2023, we entered into securities purchase agreements to sell $3,000,000 unsecured convertible notes to 4 investors (the “June 23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June 23 Notes have been converted into an aggregate of 1,000,000 Class A ordinary shares, par value $0.00001 per share.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 owned 533,575 Class A ordinary shares and did not own any Class B ordinary share; and DSF Investment Holdings Limited owned 45,305 Class A ordinary shares and did not own any Class B ordinary share.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Over the past three years, we have invested approximately $0.2 million towards our principal capital expenditures, which include laboratory equipment, leasehold improvements, and other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154305</wp:posOffset>
            </wp:positionV>
            <wp:extent cx="5572125" cy="3343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212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1: Dr. Clark Cheng, a previous Executive Director of Aptorum Group, holds the remaining 10% shareholding of Aptorum Medical Limited.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Note 2: Angen Funds Limited, a company designated by an investor of ALS series projects, holds the remaining 20% shareholding of Acticule Life Sciences Limited.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3: An investor of project VLS-2 holds the remaining 10% shareholding of mTor (Hong Kong) Limited.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second amended memorandum and articles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has not had any operations since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Projects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operating and managing the development of our drug candidates through various subsidiaries. Each candidate is being researched in a subsidiary with a medical/scientific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 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Generally speaking, pharmaceutical development consists of preclinical and clinical phases. The preclinical phase can further sub-divided into the following stages: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Identification &amp; Selection</w:t>
      </w:r>
      <w:r>
        <w:rPr>
          <w:rFonts w:ascii="Times New Roman" w:cs="Times New Roman" w:eastAsia="Times New Roman" w:hAnsi="Times New Roman"/>
          <w:sz w:val="18"/>
          <w:szCs w:val="18"/>
          <w:color w:val="auto"/>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Discovery</w:t>
      </w:r>
      <w:r>
        <w:rPr>
          <w:rFonts w:ascii="Times New Roman" w:cs="Times New Roman" w:eastAsia="Times New Roman" w:hAnsi="Times New Roman"/>
          <w:sz w:val="18"/>
          <w:szCs w:val="18"/>
          <w:color w:val="auto"/>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Optimization</w:t>
      </w:r>
      <w:r>
        <w:rPr>
          <w:rFonts w:ascii="Times New Roman" w:cs="Times New Roman" w:eastAsia="Times New Roman" w:hAnsi="Times New Roman"/>
          <w:sz w:val="18"/>
          <w:szCs w:val="18"/>
          <w:color w:val="auto"/>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CTA-Enabling Studies</w:t>
      </w:r>
      <w:r>
        <w:rPr>
          <w:rFonts w:ascii="Times New Roman" w:cs="Times New Roman" w:eastAsia="Times New Roman" w:hAnsi="Times New Roman"/>
          <w:sz w:val="18"/>
          <w:szCs w:val="18"/>
          <w:color w:val="auto"/>
        </w:rPr>
        <w:t>: Includes all the essential studies such as GLP toxicology studies, pharmacology and efficacy, pharmacokinetics, in vitro metabolism, CMC studies, and the data of which are used for CTA submission.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IND-Enabling Studies</w:t>
      </w:r>
      <w:r>
        <w:rPr>
          <w:rFonts w:ascii="Times New Roman" w:cs="Times New Roman" w:eastAsia="Times New Roman" w:hAnsi="Times New Roman"/>
          <w:sz w:val="18"/>
          <w:szCs w:val="18"/>
          <w:color w:val="auto"/>
        </w:rPr>
        <w:t>: Includes all the essential studies such as GLP toxicology studies, pharmacology and efficacy, pharmacokinetics, in vitro metabolism, CMC studies, and the data of which are used for IND submission.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vitro validation</w:t>
      </w:r>
      <w:r>
        <w:rPr>
          <w:rFonts w:ascii="Times New Roman" w:cs="Times New Roman" w:eastAsia="Times New Roman" w:hAnsi="Times New Roman"/>
          <w:sz w:val="18"/>
          <w:szCs w:val="18"/>
          <w:color w:val="auto"/>
        </w:rPr>
        <w:t>: At this stage, the efficacy and safety of a drug candidate are assessed at cellular levels.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vivo validation</w:t>
      </w:r>
      <w:r>
        <w:rPr>
          <w:rFonts w:ascii="Times New Roman" w:cs="Times New Roman" w:eastAsia="Times New Roman" w:hAnsi="Times New Roman"/>
          <w:sz w:val="18"/>
          <w:szCs w:val="18"/>
          <w:color w:val="auto"/>
        </w:rPr>
        <w:t>: At this stage, the efficacy, safety and pharmacokinetic of a drug candidate are assessed in animal models.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 Preparation and Submission</w:t>
      </w:r>
      <w:r>
        <w:rPr>
          <w:rFonts w:ascii="Times New Roman" w:cs="Times New Roman" w:eastAsia="Times New Roman" w:hAnsi="Times New Roman"/>
          <w:sz w:val="18"/>
          <w:szCs w:val="18"/>
          <w:color w:val="auto"/>
        </w:rPr>
        <w:t>: Preparation of a package of documents for different sections such as CMC, clinical, nonclinical, etc. and getting them reviewed, approved and final checked and followed by submission to regulatory agencies.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1" w:lineRule="exact"/>
        <w:rPr>
          <w:sz w:val="20"/>
          <w:szCs w:val="20"/>
          <w:color w:val="auto"/>
        </w:rPr>
      </w:pPr>
    </w:p>
    <w:p>
      <w:pPr>
        <w:jc w:val="both"/>
        <w:ind w:left="980" w:hanging="324"/>
        <w:spacing w:after="0" w:line="255" w:lineRule="auto"/>
        <w:tabs>
          <w:tab w:leader="none" w:pos="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Phase 1 includes the initial introduction of an investigational new drug into humans. These studies are closely monitored and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left="980" w:hanging="324"/>
        <w:spacing w:after="0" w:line="262" w:lineRule="auto"/>
        <w:tabs>
          <w:tab w:leader="none" w:pos="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Phase 2 includes the early controlled clinical studies conducted to obtain some preliminary data on the effectiveness of the drug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176" w:lineRule="exact"/>
        <w:rPr>
          <w:rFonts w:ascii="Times New Roman" w:cs="Times New Roman" w:eastAsia="Times New Roman" w:hAnsi="Times New Roman"/>
          <w:sz w:val="18"/>
          <w:szCs w:val="18"/>
          <w:b w:val="1"/>
          <w:bCs w:val="1"/>
          <w:color w:val="auto"/>
        </w:rPr>
      </w:pPr>
    </w:p>
    <w:p>
      <w:pPr>
        <w:jc w:val="both"/>
        <w:ind w:left="980" w:hanging="324"/>
        <w:spacing w:after="0" w:line="25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Phase 3 studies are expanded controlled and uncontrolled trials. They are performed after preliminary evidence suggesting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non-therapeutics projects can be sub-divided into the following stages:</w:t>
      </w:r>
    </w:p>
    <w:p>
      <w:pPr>
        <w:spacing w:after="0" w:line="225" w:lineRule="exact"/>
        <w:rPr>
          <w:sz w:val="20"/>
          <w:szCs w:val="20"/>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and Experimentation</w:t>
      </w:r>
      <w:r>
        <w:rPr>
          <w:rFonts w:ascii="Times New Roman" w:cs="Times New Roman" w:eastAsia="Times New Roman" w:hAnsi="Times New Roman"/>
          <w:sz w:val="18"/>
          <w:szCs w:val="18"/>
          <w:color w:val="auto"/>
        </w:rPr>
        <w:t>: Early development work for proof-of-concept.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Optimization</w:t>
      </w:r>
      <w:r>
        <w:rPr>
          <w:rFonts w:ascii="Times New Roman" w:cs="Times New Roman" w:eastAsia="Times New Roman" w:hAnsi="Times New Roman"/>
          <w:sz w:val="18"/>
          <w:szCs w:val="18"/>
          <w:color w:val="auto"/>
        </w:rPr>
        <w:t>: The practice of making changes or adjustments to a product to make it more desirable.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Validation</w:t>
      </w:r>
      <w:r>
        <w:rPr>
          <w:rFonts w:ascii="Times New Roman" w:cs="Times New Roman" w:eastAsia="Times New Roman" w:hAnsi="Times New Roman"/>
          <w:sz w:val="18"/>
          <w:szCs w:val="18"/>
          <w:color w:val="auto"/>
        </w:rPr>
        <w:t>: Confirming the performance of a technology using clinical/patient samples.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Pre-commercialization preparation</w:t>
      </w:r>
      <w:r>
        <w:rPr>
          <w:rFonts w:ascii="Times New Roman" w:cs="Times New Roman" w:eastAsia="Times New Roman" w:hAnsi="Times New Roman"/>
          <w:sz w:val="18"/>
          <w:szCs w:val="18"/>
          <w:color w:val="auto"/>
        </w:rPr>
        <w:t>: The logistics that need to be accomplished before commercialization.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Formulation</w:t>
      </w:r>
      <w:r>
        <w:rPr>
          <w:rFonts w:ascii="Times New Roman" w:cs="Times New Roman" w:eastAsia="Times New Roman" w:hAnsi="Times New Roman"/>
          <w:sz w:val="18"/>
          <w:szCs w:val="18"/>
          <w:color w:val="auto"/>
        </w:rPr>
        <w:t>: Preparation of a marketed dosage form from active ingredients and excipients/additives.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The process of introducing a new product or production method into commerce — making it available on the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568960</wp:posOffset>
            </wp:positionV>
            <wp:extent cx="5143500" cy="1371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Note: Timeline are tentative only and will be change upon the actual progress. The projects will be considered partnership with pharma during the clinical development.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ALS-4: Small molecule for the treatment of bacterial infections caused by Staphylococcus aureus including but not limited to Methicillin-resistant Staphylococcus aureus (“MRSA”)</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Just as certain of viruses, such as human immunodeficiency7 virus (“HIV”) and influenza have developed resistance to drugs developed to treat them, certain bacteria such as </w:t>
      </w:r>
      <w:r>
        <w:rPr>
          <w:rFonts w:ascii="Times New Roman" w:cs="Times New Roman" w:eastAsia="Times New Roman" w:hAnsi="Times New Roman"/>
          <w:sz w:val="18"/>
          <w:szCs w:val="18"/>
          <w:i w:val="1"/>
          <w:iCs w:val="1"/>
          <w:color w:val="auto"/>
        </w:rPr>
        <w:t>Staphylococcus aureus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Mycobacterium tuberculosis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Pseudomonas aeruginosa</w:t>
      </w:r>
      <w:r>
        <w:rPr>
          <w:rFonts w:ascii="Times New Roman" w:cs="Times New Roman" w:eastAsia="Times New Roman" w:hAnsi="Times New Roman"/>
          <w:sz w:val="18"/>
          <w:szCs w:val="18"/>
          <w:color w:val="auto"/>
        </w:rPr>
        <w:t xml:space="preserve"> 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Times New Roman" w:cs="Times New Roman" w:eastAsia="Times New Roman" w:hAnsi="Times New Roman"/>
          <w:sz w:val="18"/>
          <w:szCs w:val="18"/>
          <w:i w:val="1"/>
          <w:iCs w:val="1"/>
          <w:color w:val="auto"/>
        </w:rPr>
        <w:t>https://www.cdc.gov/mrsa/tracking/index.html</w:t>
      </w:r>
      <w:r>
        <w:rPr>
          <w:rFonts w:ascii="Times New Roman" w:cs="Times New Roman" w:eastAsia="Times New Roman" w:hAnsi="Times New Roman"/>
          <w:sz w:val="18"/>
          <w:szCs w:val="18"/>
          <w:color w:val="auto"/>
        </w:rPr>
        <w:t>). Both adults and children may carry MRSA.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Most MRSA infections occur in people who have been in hospital or other health care settings, such as nursing homes and dialysis centers (source: </w:t>
      </w:r>
      <w:r>
        <w:rPr>
          <w:rFonts w:ascii="Times New Roman" w:cs="Times New Roman" w:eastAsia="Times New Roman" w:hAnsi="Times New Roman"/>
          <w:sz w:val="18"/>
          <w:szCs w:val="18"/>
          <w:i w:val="1"/>
          <w:iCs w:val="1"/>
          <w:color w:val="auto"/>
        </w:rPr>
        <w:t>https://www.mayoclinic.org/diseases-conditions/mrsa/symptoms-causes/syc-20375336</w:t>
      </w:r>
      <w:r>
        <w:rPr>
          <w:rFonts w:ascii="Times New Roman" w:cs="Times New Roman" w:eastAsia="Times New Roman" w:hAnsi="Times New Roman"/>
          <w:sz w:val="18"/>
          <w:szCs w:val="18"/>
          <w:color w:val="auto"/>
        </w:rPr>
        <w:t>), which is known as Healthcare-Associated MRSA (“HA-MRSA”).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Times New Roman" w:cs="Times New Roman" w:eastAsia="Times New Roman" w:hAnsi="Times New Roman"/>
          <w:sz w:val="18"/>
          <w:szCs w:val="18"/>
          <w:i w:val="1"/>
          <w:iCs w:val="1"/>
          <w:color w:val="auto"/>
        </w:rPr>
        <w:t>https://www.cdc.gov/media/pressrel/2007/r071016.htm</w:t>
      </w:r>
      <w:r>
        <w:rPr>
          <w:rFonts w:ascii="Times New Roman" w:cs="Times New Roman" w:eastAsia="Times New Roman" w:hAnsi="Times New Roman"/>
          <w:sz w:val="18"/>
          <w:szCs w:val="18"/>
          <w:color w:val="auto"/>
        </w:rPr>
        <w:t>). The incidence of CA-MRSA varies according to population and geographic location. In the U.S., more than 94,000 people develop serious MRSA infection and about 19,000 patients die asva result each year (</w:t>
      </w:r>
      <w:r>
        <w:rPr>
          <w:rFonts w:ascii="Times New Roman" w:cs="Times New Roman" w:eastAsia="Times New Roman" w:hAnsi="Times New Roman"/>
          <w:sz w:val="18"/>
          <w:szCs w:val="18"/>
          <w:i w:val="1"/>
          <w:iCs w:val="1"/>
          <w:color w:val="auto"/>
        </w:rPr>
        <w:t>https://www.cdc.gov/media/pressrel/2007/r071016.htm</w:t>
      </w:r>
      <w:r>
        <w:rPr>
          <w:rFonts w:ascii="Times New Roman" w:cs="Times New Roman" w:eastAsia="Times New Roman" w:hAnsi="Times New Roman"/>
          <w:sz w:val="18"/>
          <w:szCs w:val="18"/>
          <w:color w:val="auto"/>
        </w:rPr>
        <w:t xml:space="preserve">). According to the US Centers for Disease Control and Prevention (“CDC”), Staphylococcus aureus, including MRSA, caused about 11% of healthcare-associated infections in 2011 (source: </w:t>
      </w:r>
      <w:r>
        <w:rPr>
          <w:rFonts w:ascii="Times New Roman" w:cs="Times New Roman" w:eastAsia="Times New Roman" w:hAnsi="Times New Roman"/>
          <w:sz w:val="18"/>
          <w:szCs w:val="18"/>
          <w:i w:val="1"/>
          <w:iCs w:val="1"/>
          <w:color w:val="auto"/>
        </w:rPr>
        <w:t>http://www.healthcommunities.com/mrsa-infection/incidence.shtml</w:t>
      </w:r>
      <w:r>
        <w:rPr>
          <w:rFonts w:ascii="Times New Roman" w:cs="Times New Roman" w:eastAsia="Times New Roman" w:hAnsi="Times New Roman"/>
          <w:sz w:val="18"/>
          <w:szCs w:val="18"/>
          <w:color w:val="auto"/>
        </w:rPr>
        <w:t>). Each year in the U.S., around one out of every twenty-five hospitalized patients contracts at least one infection in the hospital (N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Engl J Med. 2014, 27;370(13):1198-208). In the U.S., there were over 80,000 invasive MRSA infections and 11,285 related deaths in 2011 (source: </w:t>
      </w:r>
      <w:r>
        <w:rPr>
          <w:rFonts w:ascii="Times New Roman" w:cs="Times New Roman" w:eastAsia="Times New Roman" w:hAnsi="Times New Roman"/>
          <w:sz w:val="18"/>
          <w:szCs w:val="18"/>
          <w:i w:val="1"/>
          <w:iCs w:val="1"/>
          <w:color w:val="auto"/>
        </w:rPr>
        <w:t>https://edition.cnn.com/2013/06/28/us/mrsa-fast-facts/index.html</w:t>
      </w:r>
      <w:r>
        <w:rPr>
          <w:rFonts w:ascii="Times New Roman" w:cs="Times New Roman" w:eastAsia="Times New Roman" w:hAnsi="Times New Roman"/>
          <w:sz w:val="18"/>
          <w:szCs w:val="18"/>
          <w:color w:val="auto"/>
        </w:rPr>
        <w:t>). Indeed, severe MRSA infections most commonly occur during or soon after inpatient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medical care. More than 290,000 hospitalized patients are infected with Staphylococcus aureus and of these staphylococcal infections, approximately 126,000 are related to MRSA (source: </w:t>
      </w:r>
      <w:r>
        <w:rPr>
          <w:rFonts w:ascii="Times New Roman" w:cs="Times New Roman" w:eastAsia="Times New Roman" w:hAnsi="Times New Roman"/>
          <w:sz w:val="18"/>
          <w:szCs w:val="18"/>
          <w:i w:val="1"/>
          <w:iCs w:val="1"/>
          <w:color w:val="auto"/>
        </w:rPr>
        <w:t>http://www.healthcommunities.com/mrsa-infection/incidence.shtml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154305</wp:posOffset>
            </wp:positionV>
            <wp:extent cx="4757420" cy="5408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5742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Figure 1: In vitro pigment inhibition by compound ALS-4: Inhibition of staphyloxathin (the golden pigment in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in the presence of increasing concentrations of ALS-4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39"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auto"/>
        </w:rPr>
        <w:t>Efficacy of ALS-4 in a MRSA Wound Infection Mouse Model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 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434965" cy="29832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3496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Unpaired student’s t-test, p&lt;0.05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2: Result of study on ALS-4’s effect in the healing of open wounds infected with MRSA in a mouse model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Efficacy of ALS-4 in a Bacteraemia Mouse Model</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 further round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results announced in February 2020.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17145</wp:posOffset>
            </wp:positionV>
            <wp:extent cx="4114800" cy="2811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148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3a: Oral Formulation of ALS-4 in an MRSA Survival Study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154305</wp:posOffset>
            </wp:positionV>
            <wp:extent cx="4800600" cy="2125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06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3b: Oral Formulation of ALS-4 in a Non-Lethal Bacteremia Model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CFU = Colony Forming Unit, a unit used to estimate the number of viable bacteria in a sample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 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License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11, 2019, Acticule and Versitech Limited entered into a second license agreement for ALS-4, where Acticule exclusively licensed the intellectual property rights on certain HKU-owned improvements to the original licensed invention.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SACT-1: A Repurposed Drug for the Treatment of Neuroblastoma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 of bringing a repurposed drug is estimated to be around US$300 million, which is only one-tenth of the development cost for a new drug.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(Nosengo, N. Can you teach old drugs new tricks? Nature. 534, 314-316, 2016).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summary, drug repurposing may offer the following potential advantages:</w:t>
      </w:r>
    </w:p>
    <w:p>
      <w:pPr>
        <w:spacing w:after="0" w:line="223" w:lineRule="exact"/>
        <w:rPr>
          <w:sz w:val="20"/>
          <w:szCs w:val="20"/>
          <w:color w:val="auto"/>
        </w:rPr>
      </w:pPr>
    </w:p>
    <w:p>
      <w:pPr>
        <w:jc w:val="both"/>
        <w:ind w:left="980" w:hanging="324"/>
        <w:spacing w:after="0" w:line="257"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profiles: According to an article published by Drug Discovery World (</w:t>
      </w:r>
      <w:r>
        <w:rPr>
          <w:rFonts w:ascii="Times New Roman" w:cs="Times New Roman" w:eastAsia="Times New Roman" w:hAnsi="Times New Roman"/>
          <w:sz w:val="18"/>
          <w:szCs w:val="18"/>
          <w:i w:val="1"/>
          <w:iCs w:val="1"/>
          <w:color w:val="auto"/>
        </w:rPr>
        <w:t>https://www.ddw-online.com/the-benefits-of-drug-repositioning-1779-201104/</w:t>
      </w:r>
      <w:r>
        <w:rPr>
          <w:rFonts w:ascii="Times New Roman" w:cs="Times New Roman" w:eastAsia="Times New Roman" w:hAnsi="Times New Roman"/>
          <w:sz w:val="18"/>
          <w:szCs w:val="18"/>
          <w:color w:val="auto"/>
        </w:rPr>
        <w:t>), the development risk for new indications may be reduced by applying existing drugs that have been approved for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spacing w:after="0" w:line="184"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Times New Roman" w:cs="Times New Roman" w:eastAsia="Times New Roman" w:hAnsi="Times New Roman"/>
          <w:sz w:val="18"/>
          <w:szCs w:val="18"/>
          <w:i w:val="1"/>
          <w:iCs w:val="1"/>
          <w:color w:val="auto"/>
        </w:rPr>
        <w:t>https://www.pharmoutsourcing.com/Featured-Articles/345076-Accelerating-Drug-Development-Through-Repurposing-Repositioning-and-Rescue/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Cost-saving: Along with time-saving, money-saving is also a key benefit. The cost to relaunch a repositioned drug averages $8.4 million, whereas to relaunch a 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Times New Roman" w:cs="Times New Roman" w:eastAsia="Times New Roman" w:hAnsi="Times New Roman"/>
          <w:sz w:val="18"/>
          <w:szCs w:val="18"/>
          <w:i w:val="1"/>
          <w:iCs w:val="1"/>
          <w:color w:val="auto"/>
        </w:rPr>
        <w:t>https://www.ddw-online.com/the-benefits-of-drug-repositioning-1779-201104/</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out-licensing: According to an article published by Drug Discovery World (</w:t>
      </w:r>
      <w:r>
        <w:rPr>
          <w:rFonts w:ascii="Times New Roman" w:cs="Times New Roman" w:eastAsia="Times New Roman" w:hAnsi="Times New Roman"/>
          <w:sz w:val="18"/>
          <w:szCs w:val="18"/>
          <w:i w:val="1"/>
          <w:iCs w:val="1"/>
          <w:color w:val="auto"/>
        </w:rPr>
        <w:t>https://www.ddw-online.com/the-benefits-of-drug-repositioning-1779-201104/</w:t>
      </w:r>
      <w:r>
        <w:rPr>
          <w:rFonts w:ascii="Times New Roman" w:cs="Times New Roman" w:eastAsia="Times New Roman" w:hAnsi="Times New Roman"/>
          <w:sz w:val="18"/>
          <w:szCs w:val="18"/>
          <w:color w:val="auto"/>
        </w:rPr>
        <w:t>), pharmaceutical companies are exploring new models to out-license some of their clinical drug candidates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failure rate: According to BCC Research, approval rates for repurposed drugs are close to 30%, which is greater than the approval rate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new drug applications. (Front Oncol. 2017; 7: 273)</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RNA into DNA, which is essential for the virus to replicate and integrate into the host cell’s genome. By using the Smart-ACT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Times New Roman" w:cs="Times New Roman" w:eastAsia="Times New Roman" w:hAnsi="Times New Roman"/>
          <w:sz w:val="18"/>
          <w:szCs w:val="18"/>
          <w:i w:val="1"/>
          <w:iCs w:val="1"/>
          <w:color w:val="auto"/>
        </w:rPr>
        <w:t>https://www.cancer.org/cancer/neuroblastoma/detection-diagnosis-staging/survival-rates.html</w:t>
      </w:r>
      <w:r>
        <w:rPr>
          <w:rFonts w:ascii="Times New Roman" w:cs="Times New Roman" w:eastAsia="Times New Roman" w:hAnsi="Times New Roman"/>
          <w:sz w:val="18"/>
          <w:szCs w:val="18"/>
          <w:color w:val="auto"/>
        </w:rPr>
        <w:t>). The current high drug treatment cost for high-risk patients</w:t>
      </w:r>
    </w:p>
    <w:p>
      <w:pPr>
        <w:spacing w:after="0" w:line="2" w:lineRule="exact"/>
        <w:rPr>
          <w:sz w:val="20"/>
          <w:szCs w:val="20"/>
          <w:color w:val="auto"/>
        </w:rPr>
      </w:pPr>
    </w:p>
    <w:p>
      <w:pPr>
        <w:spacing w:after="0"/>
        <w:tabs>
          <w:tab w:leader="none" w:pos="1540" w:val="left"/>
          <w:tab w:leader="none" w:pos="3400" w:val="left"/>
          <w:tab w:leader="none" w:pos="5640" w:val="left"/>
          <w:tab w:leader="none" w:pos="7180" w:val="left"/>
          <w:tab w:leader="none" w:pos="9080" w:val="left"/>
          <w:tab w:leader="none" w:pos="10620" w:val="left"/>
        </w:tabs>
        <w:rPr>
          <w:sz w:val="20"/>
          <w:szCs w:val="20"/>
          <w:color w:val="auto"/>
        </w:rPr>
      </w:pPr>
      <w:r>
        <w:rPr>
          <w:rFonts w:ascii="Times New Roman" w:cs="Times New Roman" w:eastAsia="Times New Roman" w:hAnsi="Times New Roman"/>
          <w:sz w:val="18"/>
          <w:szCs w:val="18"/>
          <w:color w:val="auto"/>
        </w:rPr>
        <w:t>can</w:t>
      </w:r>
      <w:r>
        <w:rPr>
          <w:sz w:val="20"/>
          <w:szCs w:val="20"/>
          <w:color w:val="auto"/>
        </w:rPr>
        <w:tab/>
      </w:r>
      <w:r>
        <w:rPr>
          <w:rFonts w:ascii="Times New Roman" w:cs="Times New Roman" w:eastAsia="Times New Roman" w:hAnsi="Times New Roman"/>
          <w:sz w:val="18"/>
          <w:szCs w:val="18"/>
          <w:color w:val="auto"/>
        </w:rPr>
        <w:t>average</w:t>
      </w:r>
      <w:r>
        <w:rPr>
          <w:sz w:val="20"/>
          <w:szCs w:val="20"/>
          <w:color w:val="auto"/>
        </w:rPr>
        <w:tab/>
      </w:r>
      <w:r>
        <w:rPr>
          <w:rFonts w:ascii="Times New Roman" w:cs="Times New Roman" w:eastAsia="Times New Roman" w:hAnsi="Times New Roman"/>
          <w:sz w:val="18"/>
          <w:szCs w:val="18"/>
          <w:color w:val="auto"/>
        </w:rPr>
        <w:t>USD200,000</w:t>
      </w:r>
      <w:r>
        <w:rPr>
          <w:sz w:val="20"/>
          <w:szCs w:val="20"/>
          <w:color w:val="auto"/>
        </w:rPr>
        <w:tab/>
      </w: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regimen</w:t>
      </w:r>
      <w:r>
        <w:rPr>
          <w:sz w:val="20"/>
          <w:szCs w:val="20"/>
          <w:color w:val="auto"/>
        </w:rPr>
        <w:tab/>
      </w:r>
      <w:r>
        <w:rPr>
          <w:rFonts w:ascii="Times New Roman" w:cs="Times New Roman" w:eastAsia="Times New Roman" w:hAnsi="Times New Roman"/>
          <w:sz w:val="18"/>
          <w:szCs w:val="18"/>
          <w:color w:val="auto"/>
        </w:rPr>
        <w:t>(all</w:t>
      </w:r>
      <w:r>
        <w:rPr>
          <w:sz w:val="20"/>
          <w:szCs w:val="20"/>
          <w:color w:val="auto"/>
        </w:rPr>
        <w:tab/>
      </w:r>
      <w:r>
        <w:rPr>
          <w:rFonts w:ascii="Times New Roman" w:cs="Times New Roman" w:eastAsia="Times New Roman" w:hAnsi="Times New Roman"/>
          <w:sz w:val="18"/>
          <w:szCs w:val="18"/>
          <w:color w:val="auto"/>
        </w:rPr>
        <w:t>6cycles)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https://www.cadth.ca/sites/default/files/pcodr/Reviews2019/10154DinutuximabNeuroblastoma_fnEGR_NO REDACT-ABBREV_Post_26Mar2019_final.pdf</w:t>
      </w:r>
      <w:r>
        <w:rPr>
          <w:rFonts w:ascii="Times New Roman" w:cs="Times New Roman" w:eastAsia="Times New Roman" w:hAnsi="Times New Roman"/>
          <w:sz w:val="18"/>
          <w:szCs w:val="18"/>
          <w:color w:val="auto"/>
        </w:rPr>
        <w:t>). In addition, most pediatric patients often do not tolerate or survive the relevant chemotherapy stage which,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further clinical studies, may be positively addressed by the SACT-1 candidate due to the potential synergistic effects when applied with standard chemotherapy.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27603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4: synergism between SACT-1 and traditional chemotherapy in vitro</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123190</wp:posOffset>
            </wp:positionV>
            <wp:extent cx="5143500" cy="1508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Adverse Events and Resolution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Rilpivirine demonstrated a favorable safety profile across all doses (25 mg, 75 mg, and 150 mg), with most incidents being mild to moderate and resolving during the study: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Treatment-Related Incidences: The most common grade 2 – 4 adverse events investigators determined to be at least possibly related to rilpivirine included nausea (3.6%), dizziness (1.1%), and abnormal dreams/nightmares (0.7%).</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Symptom Resolution: The majority of neurological and psychiatric adverse events were grade 1 or 2 in severity and did not require treatment discontinuation.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Skin Tolerability: Rashes reported were primarily grade 1 or 2 and typically resolved with continued dosing, with a median resolution time of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Serious and Grade 4 Events: The incidence of serious adverse events (SAEs) was low (12.2%), and only one grade 4 clinical event (a suicide attempt) was reported as at least possibly related to the medication.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Non-Relatedness of Study Deaths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further demonstrate the safety of rilpivirine, it is noted that while two deaths occurred during the 96-week study, both cases were definitively determined by investigators to be unrelated to the study medication.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The first death resulted from pneumonia, septic shock, and cardiopulmonary arrest.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The second death was the result of a motor vehicle accident. Both fatalities occurred in the 75 mg dose group; notably, no deaths were reported in the 25 mg or 150 mg rilpivirine treatment groups.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Formulation Differentiation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43500" cy="18516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Positive data from our latest internal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 significant activity against neuroblastoma tumor reduction when treated with the compound SACT-1 in combination with standard of care (SOC) chemotherapy. 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Separately, we also screened SACT-1 for its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against over 300 cancer cell lines and showed positive results in a number of cancer types including in particular colorectal cancer, leukemia and lymphoma, etc.</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Similar to our previous findings against neuroblastoma cell lines, SACT-1 exhibits similar anti-tumor efficacy across one or more other major cancer types, including but not limited to colorectal cancer, leukemia and lymphoma cell lines. As a result, in addition to treating neuroblastoma, SACT-1 may have potential applications in the treatment of other cancers. Based on this discovery, we plan to carry out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observation that SACT-1 promotes tumor DNA damage and tumor cell death.</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43500" cy="3522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Figure 5: 22 days data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a xenograft mouse model of neuroblastoma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Unpaired student’s t-test, p&lt;0.01, n=8 (based on initial 22 days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additional detail about the referenced studies disclosed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studies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Affiliation</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Serious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Adverse</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Statistical</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Aptorum</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Study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Selection</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(including</w:t>
            </w:r>
          </w:p>
        </w:tc>
        <w:tc>
          <w:tcPr>
            <w:tcW w:w="8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Events</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Significance</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or</w:t>
            </w:r>
          </w:p>
        </w:tc>
      </w:tr>
      <w:tr>
        <w:trPr>
          <w:trHeight w:val="245"/>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Conducted</w:t>
            </w:r>
          </w:p>
        </w:tc>
        <w:tc>
          <w:tcPr>
            <w:tcW w:w="80" w:type="dxa"/>
            <w:vAlign w:val="bottom"/>
          </w:tcPr>
          <w:p>
            <w:pPr>
              <w:spacing w:after="0"/>
              <w:rPr>
                <w:sz w:val="21"/>
                <w:szCs w:val="21"/>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8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Sponsor(s)</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8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measurements)</w:t>
            </w:r>
          </w:p>
        </w:tc>
        <w:tc>
          <w:tcPr>
            <w:tcW w:w="8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(SAEs)</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(p-value)</w:t>
            </w: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DiamiR</w:t>
            </w:r>
          </w:p>
        </w:tc>
      </w:tr>
      <w:tr>
        <w:trPr>
          <w:trHeight w:val="198"/>
        </w:trPr>
        <w:tc>
          <w:tcPr>
            <w:tcW w:w="1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Rilpivirine Phase IIb</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2005 – 2007</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Multiple</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Tibotec</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368 HIV-</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HIV-positive</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Favorable</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Grade 3/4</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w:t>
            </w:r>
          </w:p>
        </w:tc>
      </w:tr>
      <w:tr>
        <w:trPr>
          <w:trHeight w:val="216"/>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Study</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global</w:t>
            </w:r>
          </w:p>
        </w:tc>
        <w:tc>
          <w:tcPr>
            <w:tcW w:w="1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(Janssen</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positive</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adults,</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safety profile</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laboratory</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specified in</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affiliation</w:t>
            </w:r>
          </w:p>
        </w:tc>
      </w:tr>
      <w:tr>
        <w:trPr>
          <w:trHeight w:val="216"/>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(NCT00110305)</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locations</w:t>
            </w:r>
          </w:p>
        </w:tc>
        <w:tc>
          <w:tcPr>
            <w:tcW w:w="1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Pharmaceutica</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adults</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treatment-</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across all doses</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abnormalities</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NV)</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naive, aged</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 mg, 75 mg,</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(26.8%), one</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publication.</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Aptorum or</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years</w:t>
            </w: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150 mg).</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grade 4 event</w:t>
            </w:r>
          </w:p>
        </w:tc>
        <w:tc>
          <w:tcPr>
            <w:tcW w:w="9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DiamiR.</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Most adverse</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(suicide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events were</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attempt), two</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mild to</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unrelated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moderate and</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deaths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resolved during</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(pneumonia,</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study.</w:t>
            </w:r>
          </w:p>
        </w:tc>
        <w:tc>
          <w:tcPr>
            <w:tcW w:w="1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car accident).</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8"/>
        </w:trPr>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SACT-1 Phase I</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2280" w:type="dxa"/>
            <w:vAlign w:val="bottom"/>
            <w:gridSpan w:val="5"/>
          </w:tcPr>
          <w:p>
            <w:pPr>
              <w:ind w:left="80"/>
              <w:spacing w:after="0" w:line="198" w:lineRule="exact"/>
              <w:rPr>
                <w:sz w:val="20"/>
                <w:szCs w:val="20"/>
                <w:color w:val="auto"/>
              </w:rPr>
            </w:pPr>
            <w:r>
              <w:rPr>
                <w:rFonts w:ascii="Times New Roman" w:cs="Times New Roman" w:eastAsia="Times New Roman" w:hAnsi="Times New Roman"/>
                <w:sz w:val="18"/>
                <w:szCs w:val="18"/>
                <w:color w:val="auto"/>
              </w:rPr>
              <w:t>United States Aptorum</w:t>
            </w:r>
          </w:p>
        </w:tc>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7"/>
                <w:szCs w:val="17"/>
                <w:color w:val="auto"/>
              </w:rPr>
            </w:pPr>
          </w:p>
        </w:tc>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Healthy adult</w:t>
            </w:r>
          </w:p>
        </w:tc>
        <w:tc>
          <w:tcPr>
            <w:tcW w:w="12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No SAEs. All</w:t>
            </w:r>
          </w:p>
        </w:tc>
        <w:tc>
          <w:tcPr>
            <w:tcW w:w="114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Not</w:t>
            </w:r>
          </w:p>
        </w:tc>
        <w:tc>
          <w:tcPr>
            <w:tcW w:w="9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Conducted</w:t>
            </w:r>
          </w:p>
        </w:tc>
      </w:tr>
      <w:tr>
        <w:trPr>
          <w:trHeight w:val="216"/>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Study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Group</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volunteers,</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adverse events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aged 2 – 18</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were Grade 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Aptorum.</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(mild) and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statistical</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resolved. No</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analysis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discontinuations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due to adverse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events.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Vivo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Hong Kong</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Aptorum</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mice per</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Mice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Statistically</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&lt; 0.01</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Conducted</w:t>
            </w:r>
          </w:p>
        </w:tc>
      </w:tr>
      <w:tr>
        <w:trPr>
          <w:trHeight w:val="216"/>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Neuroblastoma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Group</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implanted</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significant</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reported.</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(unpaired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r>
      <w:tr>
        <w:trPr>
          <w:trHeight w:val="216"/>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Xenograft Mouse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tumor shrinkage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student’s 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Aptorum.</w:t>
            </w:r>
          </w:p>
        </w:tc>
      </w:tr>
      <w:tr>
        <w:trPr>
          <w:trHeight w:val="216"/>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Study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neuroblastoma</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(54.2%) at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cells.</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60 mg/kg</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SACT-1 + SOC</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ind w:left="7020"/>
        <w:spacing w:after="0"/>
        <w:rPr>
          <w:sz w:val="20"/>
          <w:szCs w:val="20"/>
          <w:color w:val="auto"/>
        </w:rPr>
      </w:pPr>
      <w:r>
        <w:rPr>
          <w:rFonts w:ascii="Times New Roman" w:cs="Times New Roman" w:eastAsia="Times New Roman" w:hAnsi="Times New Roman"/>
          <w:sz w:val="18"/>
          <w:szCs w:val="18"/>
          <w:color w:val="auto"/>
        </w:rPr>
        <w:t>chemotherapy</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compared to</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SOC alone (p &lt;</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0.01).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License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i w:val="1"/>
          <w:iCs w:val="1"/>
          <w:color w:val="auto"/>
        </w:rPr>
        <w:t>Statistical Significance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confidence level indicates to what percentage the test results will not commit a type 1 error, the false positive. A false positive occurs when a change in the result is due to randomness (or other noise) and not the change in variations. At a 95% confidence level (p = 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 regulatory approval. Although a p-value of 0.05 has become the standard, the US FDA or other regulatory agencies may also individualize their efficacy standard for different clinical programs based on the indications, the purpose of a clinical trial, among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Application Status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we received CTA and IND approvals for ALS-4 and SACT-1 from Health Canada and US FDA to initiate human clinical trial. We have not submitted other applications for IND to the FDA or other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Inflation affects us by generally increasing our cost of labor and research and development costs, the way it does to all labor and research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do not anticipate that inflation will materially affect our business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operation and sales do not experience seasonality.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 employees are represented by a labor union or covered by a collective bargaining agreement. We have never experienced any employment related work stoppages, and we consider our relations with our employees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prospectus and that are expected to contribute significant value to our business. The technologies protected by these patents may also for the basis for the development of other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Provisional applications are often used, among other things, to establish an earlier filing date for a subsequent non-provisional patent application.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Moreover, we cannot predict whether such future patent applications will result in the issuance of patents that effectively protect any of our product candidates or will effectively prevent others from commercializing competitive products.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expect to incur material expenses in the prosecution of the provisional applications or other licensed patent applications. We expect to fund the patent costs from our cash and restricted cash.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we are the patentee of a number of provisional and non-provisional patent applications, both on our proprietarily developed projects and improvement to our in-licensed projects.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list of our patent rights as of the date hereof related to our Lead Projects; SACT-1 is a proprietary technology not subject to any license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Company/Project</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Patent Expiration</w:t>
            </w:r>
          </w:p>
        </w:tc>
      </w:t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6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Ownership Type</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Licensor(s)</w:t>
            </w:r>
          </w:p>
        </w:tc>
        <w:tc>
          <w:tcPr>
            <w:tcW w:w="120" w:type="dxa"/>
            <w:vAlign w:val="bottom"/>
          </w:tcPr>
          <w:p>
            <w:pPr>
              <w:spacing w:after="0"/>
              <w:rPr>
                <w:sz w:val="21"/>
                <w:szCs w:val="21"/>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Licensed/IP Rights</w:t>
            </w:r>
          </w:p>
        </w:tc>
        <w:tc>
          <w:tcPr>
            <w:tcW w:w="120" w:type="dxa"/>
            <w:vAlign w:val="bottom"/>
          </w:tcPr>
          <w:p>
            <w:pPr>
              <w:spacing w:after="0"/>
              <w:rPr>
                <w:sz w:val="21"/>
                <w:szCs w:val="21"/>
                <w:color w:val="auto"/>
              </w:rPr>
            </w:pPr>
          </w:p>
        </w:tc>
        <w:tc>
          <w:tcPr>
            <w:tcW w:w="1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Dates</w:t>
            </w:r>
          </w:p>
        </w:tc>
      </w:tr>
      <w:tr>
        <w:trPr>
          <w:trHeight w:val="198"/>
        </w:trPr>
        <w:tc>
          <w:tcPr>
            <w:tcW w:w="1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Acticule/ALS-4</w:t>
            </w:r>
          </w:p>
        </w:tc>
        <w:tc>
          <w:tcPr>
            <w:tcW w:w="1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Exclusive Patent License</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Versitech</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Acticule Life</w:t>
            </w:r>
          </w:p>
        </w:tc>
        <w:tc>
          <w:tcPr>
            <w:tcW w:w="1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Exclusive licensee: 2</w:t>
            </w:r>
          </w:p>
        </w:tc>
        <w:tc>
          <w:tcPr>
            <w:tcW w:w="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licensed IP rights</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dated October 18,</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Sciences Limited</w:t>
            </w: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 U.S. applications</w:t>
            </w: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include granted patents in</w:t>
            </w:r>
          </w:p>
        </w:tc>
      </w:tr>
      <w:tr>
        <w:trPr>
          <w:trHeight w:val="216"/>
        </w:trPr>
        <w:tc>
          <w:tcPr>
            <w:tcW w:w="18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(16/867,540 and</w:t>
            </w: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U.S. and pending</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17/006,985), 2 pending</w:t>
            </w: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 applications in the</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First Amendment to Exclusive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 in Canada</w:t>
            </w: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and Canada.</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Agreement, dated June 7,</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U.S. patents will</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 in 2038; any other</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 Amendment to Exclusive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 based on the</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Agreement dated July 10,</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pending application, if</w:t>
            </w:r>
          </w:p>
        </w:tc>
      </w:tr>
      <w:tr>
        <w:trPr>
          <w:trHeight w:val="216"/>
        </w:trPr>
        <w:tc>
          <w:tcPr>
            <w:tcW w:w="18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will have a 20-</w:t>
            </w: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patent term from</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Exclusive Patent License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18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dated January 11,</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55"/>
        </w:trPr>
        <w:tc>
          <w:tcPr>
            <w:tcW w:w="18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SACT-1</w:t>
            </w:r>
          </w:p>
        </w:tc>
        <w:tc>
          <w:tcPr>
            <w:tcW w:w="2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Self-owned Patent</w:t>
            </w: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5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U.S. Patent No. 11,166,952</w:t>
            </w:r>
          </w:p>
        </w:tc>
        <w:tc>
          <w:tcPr>
            <w:tcW w:w="20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Both patents expire on</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&amp; U.S. Patent No.</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27, 2040.</w:t>
            </w: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11,571,422</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 rights to a product by pursuing patent term extensions and marketing exclusivity periods that are available from the regulatory authorities of certain countries (including the United States) and the EPO.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we own trademark registrations covering the trade names and logos of Aptorum and our subsidiaries, including but not limited to “APTORUM”, “APTORUM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color w:val="auto"/>
        </w:rPr>
        <w:t>We also own certain unregistered trademark rights.</w:t>
      </w:r>
    </w:p>
    <w:p>
      <w:pPr>
        <w:spacing w:after="0" w:line="22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All other trade names, trademarks and service marks of other companies appearing in this prospectus are the property of their respective holders. Solely for convenience, the trademarks and trade names in this prospectus are referred to without the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current facilities are sufficient to meet our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 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189"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preclinical studies according to cGLP and manufacturing of clinical supplies according to cGMP;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at each clinical site before each trial may be initiated;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cGCP, to establish the safety and efficacy of the proposed product for its intended 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for a drug;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or components thereof, are produced to assess compliance with cGMP;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the FDA review and approval of the NDA.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drug candidates, or any future drug candidates we may develop, will be granted on a timely basis, if at all.</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1" w:lineRule="exact"/>
        <w:rPr>
          <w:sz w:val="20"/>
          <w:szCs w:val="20"/>
          <w:color w:val="auto"/>
        </w:rPr>
      </w:pPr>
    </w:p>
    <w:p>
      <w:pPr>
        <w:jc w:val="both"/>
        <w:ind w:left="980" w:hanging="324"/>
        <w:spacing w:after="0" w:line="255" w:lineRule="auto"/>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Phase 1 includes the initial introduction of an investigational new drug into humans. These studies are closely monitored and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184" w:lineRule="exact"/>
        <w:rPr>
          <w:rFonts w:ascii="Times New Roman" w:cs="Times New Roman" w:eastAsia="Times New Roman" w:hAnsi="Times New Roman"/>
          <w:sz w:val="18"/>
          <w:szCs w:val="18"/>
          <w:b w:val="1"/>
          <w:bCs w:val="1"/>
          <w:color w:val="auto"/>
        </w:rPr>
      </w:pPr>
    </w:p>
    <w:p>
      <w:pPr>
        <w:jc w:val="both"/>
        <w:ind w:left="980" w:hanging="324"/>
        <w:spacing w:after="0" w:line="26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Phase 2 includes the early controlled clinical studies conducted to obtain some preliminary data on the effectiveness of the drug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Phase 3 studies are expanded controlled and uncontrolled trials. They are performed after preliminary evidence suggesting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 products, refusal to approve pending applications or supplements, restrictions on marketing or manufacturing, injunctions or consent decrees, or civil or criminal penalties, or may lead to voluntary product recalls.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future, if appropriate, we intend to apply for restorations of patent term and/or marketing exclusivity for some of our products; however, there can be no assurance that any such extension or exclusivity will be granted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Sponsors of clinical trials of the FDA-regulated products, including drugs are required to register and disclose certain clinical trial information, which is publicly available at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Protection and the Affordable Care Act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spacing w:after="0" w:line="176" w:lineRule="exact"/>
        <w:rPr>
          <w:sz w:val="20"/>
          <w:szCs w:val="20"/>
          <w:color w:val="auto"/>
        </w:rPr>
      </w:pPr>
    </w:p>
    <w:p>
      <w:pPr>
        <w:jc w:val="both"/>
        <w:ind w:left="980" w:hanging="324"/>
        <w:spacing w:after="0" w:line="254"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spacing w:after="0" w:line="19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spacing w:after="0" w:line="17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imposed a requirement on manufacturers of branded drugs to provide a 50% discount off the negotiated price of branded drugs dispensed to Medicare Part D patients in the coverage gap (i.e., the “donut hole”).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and other laws may result in additional reductions in healthcare funding, which could have a material adverse effect on customers for our product candidates, if we gain 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Regulation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Canada, our pharmaceutical product candidates and our research and development activities are primarily regulated by the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steps required for drug approval in Canada is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Toxicology Studies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Non-clinical studies are conducted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Initiation of Human Testing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Submission (NDS)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European Union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EU member states and further detailed in applicable guidance documents.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after Marketing Authorization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Permission Required from the PRC Authorities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(Please see the risk factor section, “Risks Related to our Corporate Structure” and “Risks Related to Doing Business in Hong Kong” for more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operations of laboratory in Hong Kong are subject to certain general laws and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Waste Disposal Ordinance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WDO, clinical waste means waste consisting of any substance, matter or thing generated in connection with:</w:t>
      </w:r>
    </w:p>
    <w:p>
      <w:pPr>
        <w:spacing w:after="0" w:line="225"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dental, medical, nursing or veterinary practice;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practice, or establishment (howsoever described), that provides medical care and services for the sick, injured, infirm or those who require medical treatment;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 medical, nursing, veterinary, pathological or pharmaceutical research;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dental, medical, veterinary or pathological laboratory practice,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which consists wholly or partly of any of the materials specified in one or more of the groups listed below:</w:t>
      </w:r>
    </w:p>
    <w:p>
      <w:pPr>
        <w:spacing w:after="0" w:line="225"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or contaminated sharps;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waste;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and animal tissues;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infectious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dressings;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wastes as specified by the Director of the Environmental Protection Department (“EPD”) of Hong Kong.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research works in our R&amp;D Center may produce used or contaminated sharps such as syringes and needles as well as dressings, we are subject to WDO, WDR and the Code of Practice.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 of the World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plants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several operating leases for offices, laboratories and clinic. Our offices are located in London, New York and Hong Kong.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“Facilities”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DiamiR</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“DiamiR,” and similar designations in this section refer to DiamiR Biosciences Corp, a Delaware corporation, and its wholly-owned subsidiary DiamiR, LLC a private Delaware limited liability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DiamiR has incurred net losses in each year since its inception, including net losses of $743,235 and $614,405 for the years ended May 31, 2025 and 2024, respectively,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infrastructure (including hiring additional personnel) to develop and launch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expenses and DiamiR’s ability to generate revenues. If DiamiR is unable to develop and commercialize CogniMIR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and continues to support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that are incorporated by reference into this prospectus, have been prepared assuming that DiamiR will continue as a going concern, which contemplates, among other things, the realization of assets and satisfaction of liabilities in the normal course of business. Neither the audited consolidated financial statement nor the unaudited consolidated financial statements include any adjustments that might be necessary if DiamiR is unable to continue as a going concern.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Events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March 10, 2026, Aptorum and DiamiR announced the publication of a paper by Giliberto, </w:t>
      </w:r>
      <w:r>
        <w:rPr>
          <w:rFonts w:ascii="Times New Roman" w:cs="Times New Roman" w:eastAsia="Times New Roman" w:hAnsi="Times New Roman"/>
          <w:sz w:val="18"/>
          <w:szCs w:val="18"/>
          <w:i w:val="1"/>
          <w:iCs w:val="1"/>
          <w:color w:val="auto"/>
        </w:rPr>
        <w:t>et. al. titled “Development of microRNA-Based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Glioblastoma Biomarkers Using Blood Plasma Specimens” (https://doi.org/10.3390/diagnostics16050791)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Diagnostics (https://www.globenewswire.com/news-release/2026/03/10/3252755/0/en/Aptorum-Group-and-DiamiR-Biosciences-Announce-Publication-of-microRNA-Glioblastoma-Biomarker-Study-in-Diagnostics-in-Collaboration-with-the-University-of-Pennsylvania.html)</w:t>
      </w:r>
      <w:r>
        <w:rPr>
          <w:rFonts w:ascii="Times New Roman" w:cs="Times New Roman" w:eastAsia="Times New Roman" w:hAnsi="Times New Roman"/>
          <w:sz w:val="18"/>
          <w:szCs w:val="18"/>
          <w:color w:val="auto"/>
        </w:rPr>
        <w:t>. The study, conducted in collaboration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researchers at the Perelman School of Medicine at the University of Pennsylvania, discussed the feasibility of detecting glioblastoma (GBM) through a minimally invasive test based on specific microRNA signatures in blood plasma.</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February 2, 2026, Aptorum DiamiR, and Instant NanoBiosensors Co., Ltd. (“INB”) announced a collaboration between DiamiR and INB to validate INB’s automated APOE testing platform for clinical use in DiamiR’s CLIA-certified, CAP-accredited clinical laboratory </w:t>
      </w:r>
      <w:r>
        <w:rPr>
          <w:rFonts w:ascii="Times New Roman" w:cs="Times New Roman" w:eastAsia="Times New Roman" w:hAnsi="Times New Roman"/>
          <w:sz w:val="18"/>
          <w:szCs w:val="18"/>
          <w:i w:val="1"/>
          <w:iCs w:val="1"/>
          <w:color w:val="auto"/>
        </w:rPr>
        <w:t>(https://www.globenewswire.com/news-release/2026/02/02/3230213/0/en/Aptorum-Group-Announces-a-Collaboration-Between-DiamiR-Biosciences-and-Instant-NanoBiosensors-INB-to-Validate-INB-s-Automated-APOE-Testing-Platform-for-Alzheimer-s-Disease.html)</w:t>
      </w:r>
      <w:r>
        <w:rPr>
          <w:rFonts w:ascii="Times New Roman" w:cs="Times New Roman" w:eastAsia="Times New Roman" w:hAnsi="Times New Roman"/>
          <w:sz w:val="18"/>
          <w:szCs w:val="18"/>
          <w:color w:val="auto"/>
        </w:rPr>
        <w:t>. DiamiR will compare INB’s automated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G8 Genotyping Analyzer for APOE testing with its New York State approved APOE test to evaluate INB’s platform performance and its suitability as a potential clinical solution for Alzheimer’s disease testing within DiamiR’s CLIA-certified, CAP-accredited laboratory.</w:t>
      </w:r>
    </w:p>
    <w:p>
      <w:pPr>
        <w:spacing w:after="0" w:line="19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November 19, 2025, DiamiR and Aptorum announced two poster presentations at the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Clinical Trials on Alzheimer’s Disease (CTAD) Conference, taking place December 1-4, 2025, in San Diego, CA, and online </w:t>
      </w:r>
      <w:r>
        <w:rPr>
          <w:rFonts w:ascii="Times New Roman" w:cs="Times New Roman" w:eastAsia="Times New Roman" w:hAnsi="Times New Roman"/>
          <w:sz w:val="18"/>
          <w:szCs w:val="18"/>
          <w:i w:val="1"/>
          <w:iCs w:val="1"/>
          <w:color w:val="auto"/>
        </w:rPr>
        <w:t>(https://www.globenewswire.com/news-release/2025/11/19/3190879/0/en/DiamiR-Biosciences-and-Aptorum-Group-Announce-Two-Abstracts-Accepted-for-Presentation-at-the-Clinical-Trials-on-Alzheimer-s-Disease-CTAD-2025-Conference.html)</w:t>
      </w:r>
      <w:r>
        <w:rPr>
          <w:rFonts w:ascii="Times New Roman" w:cs="Times New Roman" w:eastAsia="Times New Roman" w:hAnsi="Times New Roman"/>
          <w:sz w:val="18"/>
          <w:szCs w:val="18"/>
          <w:color w:val="auto"/>
        </w:rPr>
        <w:t>. Poster #225: Developing microRNA classifiers enriched in brain and associated with inflammation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color w:val="auto"/>
        </w:rPr>
        <w:t>In September 2025, DiamiR issued a 10% convertible note due December 31, 2026 to an investor for loan proceeds of $100,000.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May 2025, DiamiR successfully renewed its CT State and CLIA licenses after an inspection of its New Haven CT laboratory by State inspectors. These 2 licenses will expire on June 15, 2026 and April 13, 2027,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2025, DiamiR successfully passed its CAP inspection and its accreditation was renewed for an additional 2 years until April 13, 2027.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2025 and June 2025, DiamiR amended the convertible note with Kira Sheinerman, one of its founders and the Executive Director, such that the founder loaned DiamiR additional $100,000 and $150,000,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 Attack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prospectus. DiamiR believes phishing is a significant prevalent and evolving cyberthreat and expects to continually enhance its systems, policies and practices to prevent, detect and mitigate similar future events.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2010, DiamiR began the process of developing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2027, if ever, will depend heavily on DiamiR’s ability to comply with regulatory requirements for, and to commercialize successfully,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tests in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consisted primarily of analyzing samples and clinical data associated with revenues from research testing services performed, patent costs and general and administrative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February 28, 2026 and February 28, 2025</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7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130,355</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531,729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(531,729)</w:t>
            </w:r>
          </w:p>
        </w:tc>
        <w:tc>
          <w:tcPr>
            <w:tcW w:w="0" w:type="dxa"/>
            <w:vAlign w:val="bottom"/>
          </w:tcPr>
          <w:p>
            <w:pPr>
              <w:spacing w:after="0"/>
              <w:rPr>
                <w:sz w:val="1"/>
                <w:szCs w:val="1"/>
                <w:color w:val="auto"/>
              </w:rPr>
            </w:pP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60,000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190,355</w:t>
            </w:r>
          </w:p>
        </w:tc>
        <w:tc>
          <w:tcPr>
            <w:tcW w:w="2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631,729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(441,374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337,255</w:t>
            </w: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548,486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(211,231)</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1,006,054</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503,157</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502,897</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costs and expenses</w:t>
            </w:r>
          </w:p>
        </w:tc>
        <w:tc>
          <w:tcPr>
            <w:tcW w:w="2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1,436,325</w:t>
            </w:r>
          </w:p>
        </w:tc>
        <w:tc>
          <w:tcPr>
            <w:tcW w:w="2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1,051,643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384,682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(1,245,970)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809,542</w:t>
            </w:r>
          </w:p>
        </w:tc>
        <w:tc>
          <w:tcPr>
            <w:tcW w:w="3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809,452</w:t>
            </w:r>
          </w:p>
        </w:tc>
        <w:tc>
          <w:tcPr>
            <w:tcW w:w="0" w:type="dxa"/>
            <w:vAlign w:val="bottom"/>
          </w:tcPr>
          <w:p>
            <w:pPr>
              <w:spacing w:after="0"/>
              <w:rPr>
                <w:sz w:val="1"/>
                <w:szCs w:val="1"/>
                <w:color w:val="auto"/>
              </w:rPr>
            </w:pP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(87,960)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(59,450)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721,582</w:t>
            </w:r>
          </w:p>
        </w:tc>
        <w:tc>
          <w:tcPr>
            <w:tcW w:w="2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781,032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(524,388)</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(479,364)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(benefit) expense</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(174,546)</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14,346</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(188,892)</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(349,842</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(493,710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(143,868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2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nine months ended February 28, 2026, DiamiR recorded $130,355 of service revenue under an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 revenue was $0 for the nine months ended February28, 2026 compared to $531,729 for the nine months ended February 28, 2025. Since inception, DiamiR has earned a substantial portion of its revenue from grants from government agencies and disease foundations. In the nine months ended</w:t>
      </w:r>
    </w:p>
    <w:p>
      <w:pPr>
        <w:jc w:val="both"/>
        <w:spacing w:after="0" w:line="209" w:lineRule="auto"/>
        <w:rPr>
          <w:sz w:val="20"/>
          <w:szCs w:val="20"/>
          <w:color w:val="auto"/>
        </w:rPr>
      </w:pPr>
      <w:r>
        <w:rPr>
          <w:rFonts w:ascii="Times New Roman" w:cs="Times New Roman" w:eastAsia="Times New Roman" w:hAnsi="Times New Roman"/>
          <w:sz w:val="18"/>
          <w:szCs w:val="18"/>
          <w:color w:val="auto"/>
        </w:rPr>
        <w:t>February 28, 2025, DiamiR recorded grant revenue from the National Institutes of Health (NIH) for DiamiR’s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candidate. DiamiR depleted available grant funding in January 2025. As of February 28, 2026, DiamiR has no remaining funds available under its grants.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nine months ended February 28, 2026, the Company recognized other revenue of $60,000 upon shipment of the subject materials under a material transfer agreement with a non-customer. In the nine months ended February 28, 2025, the Company recognized other revenue of $100,000 under a previous material transfer agreement. These agreements are not expected to be a significant source of recurring revenue in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service revenue represents costs related to DiamiR’s blood biomarker testing and includes the cost of consumables and employee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Research and Development expense was $337,255 for the nine months ended February 28, 2026, compared to $548,486 for the nine months ended February 28, 2025. The decrease reflects lower personnel costs from salary reductions and reduced other direct expenses for our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candidate corresponding to the decrease in available grant funding. In addition, in the current-year period a greater portion of fixed employee compensation represented cost of services and general and administrative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$1,006,054 for the nine months ended February 28, 2026 compared to $503,157 for the nine months ended February 28, 2025, primarily reflecting approximately $514,000 of professional and consulting fees related to financing and merger activities and an increase in the portion of CEO compensation allocable to general and administrative activities, partially offset by decreases in other expenses. In the nine months ended February 28, 2025, similar professional and consulting fees associated with Diamir’s planned initial public offering of stock had been deferred to future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reflects income from Diamir’s management services agreement signed in July 2025 with Aptorum Group Limited for certain research and administrative activities performed prior to any closing of the companies’ definitive merger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primarily relates to interest accrued and the amortization of discounts on loans obtained from founders. Interest expense was $87,960 for the nine months ended February 28, 2026 compared to $59,450 for the nine months ended February 28, 2025. The increase reflects additional loans received from the founders in the intervening periods and increased discount amortization.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nine months ended February 28, 2026 DiamiR reversed its previously-accumulated provisions.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May 31, 2025 and 2024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531,729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1,319,531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(787,802)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650,591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1,156,860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(506,269)</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624,388</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614,074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10,314</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1,274,979</w:t>
            </w:r>
          </w:p>
        </w:tc>
        <w:tc>
          <w:tcPr>
            <w:tcW w:w="2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1,770,934</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(495,955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(191,847)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82,046</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48,599</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33,447</w:t>
            </w:r>
          </w:p>
        </w:tc>
      </w:tr>
      <w:tr>
        <w:trPr>
          <w:trHeight w:val="223"/>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5"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Net loss before income taxes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(725,296)</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(225,294)</w:t>
            </w:r>
          </w:p>
        </w:tc>
      </w:tr>
      <w:tr>
        <w:trPr>
          <w:trHeight w:val="255"/>
        </w:trPr>
        <w:tc>
          <w:tcPr>
            <w:tcW w:w="300" w:type="dxa"/>
            <w:vAlign w:val="bottom"/>
          </w:tcPr>
          <w:p>
            <w:pPr>
              <w:spacing w:after="0"/>
              <w:rPr>
                <w:sz w:val="22"/>
                <w:szCs w:val="22"/>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17,939</w:t>
            </w:r>
          </w:p>
        </w:tc>
        <w:tc>
          <w:tcPr>
            <w:tcW w:w="280" w:type="dxa"/>
            <w:vAlign w:val="bottom"/>
          </w:tcPr>
          <w:p>
            <w:pPr>
              <w:spacing w:after="0"/>
              <w:rPr>
                <w:sz w:val="22"/>
                <w:szCs w:val="22"/>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114,403</w:t>
            </w: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(96,464)</w:t>
            </w: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-453390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6600" w:space="720"/>
            <w:col w:w="3920"/>
          </w:cols>
          <w:pgMar w:left="320" w:top="875" w:right="339" w:bottom="1440" w:gutter="0" w:footer="0" w:header="0"/>
          <w:type w:val="continuous"/>
        </w:sectPr>
      </w:pPr>
    </w:p>
    <w:p>
      <w:pPr>
        <w:spacing w:after="0" w:line="2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Grant revenue was $531,729 for the year ended May 31, 2025 compared to $1,319,531 for the year ended May 31, 2024. The decrease was due to lower reimbursable direct labor, consulting and other development expenses for DiamiR’s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candidate corresponding to the depletion of available grant funding in January 2025. As of May 31, 2025, DiamiR has no remaining funds under its grants and grant revenues will decrease significantly or cease in future periods.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Other revenue in the year ended May 31, 2025 consists of nonrecurring fees from a non-customer under a material transfer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$650,591 for the year ended May 31, 2025, compared to $1,156,860 for the year ended May 31, 2024. The decrease reflects a decrease of approximately $214,000 in salaries and benefits from employee salary reductions, a decrease of approximately</w:t>
      </w:r>
    </w:p>
    <w:p>
      <w:pPr>
        <w:jc w:val="both"/>
        <w:spacing w:after="0" w:line="221" w:lineRule="auto"/>
        <w:rPr>
          <w:sz w:val="20"/>
          <w:szCs w:val="20"/>
          <w:color w:val="auto"/>
        </w:rPr>
      </w:pPr>
      <w:r>
        <w:rPr>
          <w:rFonts w:ascii="Times New Roman" w:cs="Times New Roman" w:eastAsia="Times New Roman" w:hAnsi="Times New Roman"/>
          <w:sz w:val="18"/>
          <w:szCs w:val="18"/>
          <w:color w:val="auto"/>
        </w:rPr>
        <w:t>$159,000 in stock based compensation expense, and decrease in other direct expenses for our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candidate, corresponding to the decrease in available grant funding. Decreased stock-based compensation primarily reflects greater vesting of options to DiamiR’s Chief Executive Officer in the year ended May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SBIR Grants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part of its Small Business Innovation Research (SBIR) program. The award supported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Equity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Notes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in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agreements with the founders with regard to any future financing.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DiamiR’s net cash flow from operating, investing and financing activities for the nine-month periods below were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(64,162)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(130,845)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(6,938)</w:t>
            </w: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178,900</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69,955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February 28, 2026 primarily reflects $349,842 of net loss in the period, which included a non-cash adjustment to income taxes payable to reverse prior provisions for uncertain tax provisions. Net loss before income taxes of $349,842 was offset primarily by an increase in accounts payable and accrued expenses. In the nine months ended February 28, 2026, DiamiR had no grant revenue following the exhaustion of prior grant funding, compared to $531,729 of grant revenue in the prior-year period. In the nine months ended February 28, 2026, DiamiR had $809,542 of other income from its July 2025 management services agreement with Aptorm, compared to $0 in the prior-year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$250,000 for the nine months ended February 28, 2026, representing $150,000 of proceeds from a founder loan and proceeds from a $100,000 convertible note issued to an investor. Proceeds from founder loans amounted to $200,000 in the nine months ended February 28,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DiamiR’s net cash flow from operating, investing and financing activities for the periods below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May 31,</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gridSpan w:val="2"/>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(308,914)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(110,192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$300,000 for the year ended May 31, 2025, representing proceeds from a founder loan. Proceeds from founder loans amounted to $200,000 in the year ended May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DiamiR has not completed development of any of its product candidates. DiamiR expects to continue to incur operating losses in the foreseeable future. Subject to receiving additional financing, it anticipates that its expenses will increase substantially due to continued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increased development activities for pipeline projects and planned commercialization efforts.</w:t>
      </w:r>
    </w:p>
    <w:p>
      <w:pPr>
        <w:spacing w:after="0" w:line="20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DiamiR expects that its existing cash and cash equivalents, and anticipated interest income, will not enable it to complete its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prospectus. DiamiR has based this estimate on assumptions that may prove to be wrong, and it could utilize its available capital resources sooner than currently expected.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DiamiR’s future funding requirements, both near- and long-term, will depend on many factors, including, but not limited to:</w:t>
      </w:r>
    </w:p>
    <w:p>
      <w:pPr>
        <w:spacing w:after="0" w:line="209"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initiation, progress, timing, costs, and results of clinical validation for CogniMIR</w:t>
      </w:r>
      <w:r>
        <w:rPr>
          <w:rFonts w:ascii="Times New Roman" w:cs="Times New Roman" w:eastAsia="Times New Roman" w:hAnsi="Times New Roman"/>
          <w:sz w:val="29"/>
          <w:szCs w:val="29"/>
          <w:color w:val="auto"/>
          <w:vertAlign w:val="superscript"/>
        </w:rPr>
        <w:t>®</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licensing, or other arrangements that DiamiR may establish;</w:t>
      </w:r>
    </w:p>
    <w:p>
      <w:pPr>
        <w:spacing w:after="0" w:line="22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maintaining, defending, and enforcing intellectual property rights, including patent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market acceptance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if DiamiR meets regulatory requirements for its commercialization; and</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DiamiR acquires, licenses, or invests in businesses, products or technologies.</w:t>
      </w:r>
    </w:p>
    <w:p>
      <w:pPr>
        <w:spacing w:after="0" w:line="22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Until DiamiR can generate a sufficient amount of revenue from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spacing w:after="0" w:line="202" w:lineRule="exact"/>
        <w:rPr>
          <w:sz w:val="20"/>
          <w:szCs w:val="20"/>
          <w:color w:val="auto"/>
        </w:rPr>
      </w:pPr>
    </w:p>
    <w:p>
      <w:pPr>
        <w:jc w:val="both"/>
        <w:ind w:right="20" w:firstLine="648"/>
        <w:spacing w:after="0" w:line="190" w:lineRule="auto"/>
        <w:rPr>
          <w:sz w:val="20"/>
          <w:szCs w:val="20"/>
          <w:color w:val="auto"/>
        </w:rPr>
      </w:pPr>
      <w:r>
        <w:rPr>
          <w:rFonts w:ascii="Times New Roman" w:cs="Times New Roman" w:eastAsia="Times New Roman" w:hAnsi="Times New Roman"/>
          <w:sz w:val="18"/>
          <w:szCs w:val="18"/>
          <w:color w:val="auto"/>
        </w:rPr>
        <w:t>DiamiR does not expect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be commercially available with reimbursement in place before fiscal 2027, if at all. DiamiR will need to raise substantial additional capital to complete the development and commercialization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Because successful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uncertain, DiamiR is unable to estimate the actual funds required to complete research and development and commercialize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 also will need to raise substantial additional capital to complete the development and commercialization of other products currently in development.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has a limited operating history and incurred net losses of $743,235 and $614,405 for the years ended May 31, 2025 and 2024, respectively, and $349,842 in the nine months ended February 28, 2026. DiamiR used net cash of $313,440 in the year ended May 31, 2025 and $64,162 in the nine months ended February 28, 2026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 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do not include any adjustments that might be necessary if DiamiR is unable to continue as a going concern.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notes to our unaudited consolidated financial statements and our audited consolidated financial statements, which are included herein, contain a summary of DiamiR’s significant accounting policies. DiamiR considers the following accounting policies and estimates critical to the understanding of the results of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Contributions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was capitalized by its two founders with a cash contribution by one of its founders of $250,000 for 2,200,000 shares of common stock and a non-cash contribution by the other founder for 2,000,000 shares of common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founders subsequently made contributions to DiamiR in the form of uncompensated services and loans bearing interest at interest rates DiamiR believes to be below market value. DiamiR recorded discounts on the notes as additional paid-in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i w:val="1"/>
          <w:iCs w:val="1"/>
          <w:color w:val="auto"/>
        </w:rPr>
        <w:t>Grants Received from Government Agencies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28, 2026, DiamiR has used all of its available grant funding.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 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an analysis of the stock option activity under the Plans between May 31, 2024 and May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153,000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(198,500)</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5.5 years</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May 31, 2025</w:t>
            </w: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263,450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Borders>
              <w:bottom w:val="single" w:sz="8" w:color="auto"/>
            </w:tcBorders>
          </w:tcPr>
          <w:p>
            <w:pPr>
              <w:spacing w:after="0"/>
              <w:rPr>
                <w:sz w:val="19"/>
                <w:szCs w:val="19"/>
                <w:color w:val="auto"/>
              </w:rPr>
            </w:pP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 ended May 31, 2024 was $7.00, based on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637"/>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right"/>
              <w:ind w:right="5390"/>
              <w:spacing w:after="0"/>
              <w:rPr>
                <w:sz w:val="20"/>
                <w:szCs w:val="20"/>
                <w:color w:val="auto"/>
              </w:rPr>
            </w:pPr>
            <w:r>
              <w:rPr>
                <w:rFonts w:ascii="Times New Roman" w:cs="Times New Roman" w:eastAsia="Times New Roman" w:hAnsi="Times New Roman"/>
                <w:sz w:val="18"/>
                <w:szCs w:val="18"/>
                <w:color w:val="auto"/>
              </w:rPr>
              <w:t>160</w:t>
            </w:r>
          </w:p>
        </w:tc>
      </w:tr>
    </w:tbl>
    <w:p>
      <w:pPr>
        <w:sectPr>
          <w:pgSz w:w="11900" w:h="16838" w:orient="portrait"/>
          <w:cols w:equalWidth="0" w:num="1">
            <w:col w:w="11240"/>
          </w:cols>
          <w:pgMar w:left="320" w:top="873" w:right="339" w:bottom="1440" w:gutter="0" w:footer="0" w:header="0"/>
        </w:sectPr>
      </w:pPr>
    </w:p>
    <w:bookmarkStart w:id="174" w:name="page175"/>
    <w:bookmarkEnd w:id="1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year ended May 31, 2023, DiamiR issued 132,000 restricted stock units, vesting upon a change in control or public listing of DiamiR’s common stock. In the year ended May 31, 2024, concurrent with the modification of stock options described above, DiamiR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issued 88,000 RSUs and 154,000 stock options in the fiscal year ending May 31, 2023 to our Chief Executive Officer as compensation for services, subject to certain vesting conditions. No compensation expense related to these awards was recognized through February 28, 2026, as the vesting conditions were not considered to be probable of achievement for accounting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28, 2026 and May 31, 2025, unrecognized stock-based compensation expense related to awards for which vesting is not considered probable was $1,093,712 and $1,093,712, respectively. As of February 28, 2026 and May 31, 2025, unrecognized stock-based compensation expense related to restricted stock units for which vesting is not considered probable was $652,080 and $652,080, respectively. This compensation expense will be recognized in future periods if DiamiR determines the vesting conditions have become probable.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stock option grants in the nine months ended February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Due to the absence of an active market for our common stock, the fair value of DiamiR’s stock was determined by its board of directors, based on the definition of ‘fair value’ in the FASB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5" w:name="page176"/>
    <w:bookmarkEnd w:id="1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Laboratory Acquisition and Intangible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15, 2021, pursuant to an Asset Purchase Agreement, DiamiR acquired certain laboratory assets, facilities and operations from Interpace, a provider of molecular diagnostic tests. The total purchase consideration consisted of 42,820 shares DiamiR common stock with an estimated fair value of $300,000. At acquisition, $197,761 of the purchase price was allocated to laboratory certifications and licenses.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Certifications and licenses represent the laboratory’s CLIA certification and its state operating licenses and intangible assets, which are transferable together with other related acquired assets and operations under certain conditions.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nine months ended February 28, 2026 reflects the reversal of prior-period provisions for such unrecognized tax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DiamiR believes might have a material impact on its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Financial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financial information incorporated herein is subject to adjustments that may be identified when audit work is performed on the Company’s year-end financial statements, which could result in significant differences from this unaudited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DIAMIR’S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spacing w:after="0" w:line="19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The first test in the DiamiR’s pipeline,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will be used to detect and determine risk of MCI, a heterogeneous condition characteristic of many NDs. Initially,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could be used by clinicians and researchers to screen patients for clinical studies aiming to prevent or to intervene early in the development of neurodegeneration.</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DiamiR aims to follow the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development and commercialization of tests for early, specific identification and monitoring of AD, PD, other NDs, Rett syndrome, cancer, and potentially other diseases. See,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Pathway and Timeline.”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DiamiR’s Structure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 shareholders. As such, the financial statements and financial information contained in this filing for prior years has been retrospectively adjusted as if the Share Exchange had occurred at the beginning of the earliest period presented.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the chart showing DiamiR’s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129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6299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DiamiR’s Strategy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DiamiR’s objective is to improve care for patients with NDs and other diseases by developing and commercializing innovative cost-effective blood-based tests for early detection and monitoring of pathology. To achieve this objective, DiamiR’s strategy is to:</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Identify and validate blood-based miRNA biomarker signatures of different pathologies. </w:t>
      </w:r>
      <w:r>
        <w:rPr>
          <w:rFonts w:ascii="Times New Roman" w:cs="Times New Roman" w:eastAsia="Times New Roman" w:hAnsi="Times New Roman"/>
          <w:sz w:val="18"/>
          <w:szCs w:val="18"/>
          <w:color w:val="auto"/>
        </w:rPr>
        <w:t>DiamiR selects candidate biomarkers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organ-enriched miRNAs detectable in blood. DiamiR has assembled a proprietary database that incorporates publicly available and proprietary data on a large number of miRNAs; DiamiR keeps this database up-to-date as new information becomes available.</w:t>
      </w:r>
    </w:p>
    <w:p>
      <w:pPr>
        <w:spacing w:after="0" w:line="175" w:lineRule="exact"/>
        <w:rPr>
          <w:sz w:val="20"/>
          <w:szCs w:val="20"/>
          <w:color w:val="auto"/>
        </w:rPr>
      </w:pPr>
    </w:p>
    <w:p>
      <w:pPr>
        <w:jc w:val="both"/>
        <w:ind w:left="980" w:hanging="324"/>
        <w:spacing w:after="0" w:line="239"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Green-based dye. The reaction contains a miRNA-specific primer and a primer that recognizes the universal tag sequence. mRNAs are quantified by SYBR Green- based real-time PCR using target-specific primers designed to detect targeted miRNAs in DiamiR’s panel.</w:t>
      </w:r>
    </w:p>
    <w:p>
      <w:pPr>
        <w:spacing w:after="0" w:line="19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has completed several proof-of-principle studies and established the 24-miRNA panel of brain-enriched and inflammation-associated miRNAs detectable in plasma as promising biomarkers of neurodegeneration.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 plans on initiating a clinical validation study to demonstrate the diagnostic performance of its assay using large cohorts of well-characterized clinical samples to satisfy CLIA and CAP requirements.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its plasma samples are stored in -80°C freezers located at DiamiR laboratory and will be available to DiamiR when its clinical validation work begins. These freezers have temperature control monitors and automated alarms capable of informing, including remotely, DiamiR lab personnel of any malfunctions and temperature drops. DiamiR has multiple freezers available to it and can move samples if any freezer goes offline. Plasma samples stored at -80°C remain stable and usable for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Offer well characterized protein biomarker tests. </w:t>
      </w:r>
      <w:r>
        <w:rPr>
          <w:rFonts w:ascii="Times New Roman" w:cs="Times New Roman" w:eastAsia="Times New Roman" w:hAnsi="Times New Roman"/>
          <w:sz w:val="18"/>
          <w:szCs w:val="18"/>
          <w:color w:val="auto"/>
        </w:rPr>
        <w:t>Over the past 15 years, significant progress has been made in the development of blood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 markers as valid diagnostic markers for MCI and AD, and recently as surrogate markers for disease monitoring and therapeutic response measurements. These biomarkers play critical roles in AD pathology and as such are useful diagnostic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122555</wp:posOffset>
            </wp:positionV>
            <wp:extent cx="5143500" cy="3497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Alzheimer’s disease is characterized by the accumulation of extracellular amyloid β (Aβ)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(Aβ positron emission tomography [PET] and the ratio of Aβ42 over Aβ40 peptides) and Aβ in cerebrospinal fluid [CSF Aβ42/Aβ40]). Also, pTau-181 and pTau-217 proteins have been gaining attention as potential biomarkers of tau dysfunction/aggregation and amyloid pathology for differential diagnosis of AD and MCI. These protein targets are involved in biological pathways that are different, but potentially synergistic, with DiamiR’s miRNA testing platform.</w:t>
      </w:r>
    </w:p>
    <w:p>
      <w:pPr>
        <w:spacing w:after="0" w:line="18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DiamiR believes that offering biomarker testing will be critical in securing biopharma contract research work, while concurrently it has the potential to improve the clinical performance of DiamiR’s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568960</wp:posOffset>
            </wp:positionV>
            <wp:extent cx="5143500" cy="1739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Optimize blood collection methodology. </w:t>
      </w:r>
      <w:r>
        <w:rPr>
          <w:rFonts w:ascii="Times New Roman" w:cs="Times New Roman" w:eastAsia="Times New Roman" w:hAnsi="Times New Roman"/>
          <w:sz w:val="18"/>
          <w:szCs w:val="18"/>
          <w:color w:val="auto"/>
        </w:rPr>
        <w:t>Currently, DiamiR uses plasma, separated from whole blood at the clinical site of collection,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 DiamiR laboratory staff would spin down the plasma for</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use in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DiamiR is testing a number of collection tubes, preservatives and extraction methods to identify the optimal collection and shipping conditions for the clinical commercial version of its test.</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Classifier and algorithm development. </w:t>
      </w:r>
      <w:r>
        <w:rPr>
          <w:rFonts w:ascii="Times New Roman" w:cs="Times New Roman" w:eastAsia="Times New Roman" w:hAnsi="Times New Roman"/>
          <w:sz w:val="18"/>
          <w:szCs w:val="18"/>
          <w:color w:val="auto"/>
        </w:rPr>
        <w:t>DiamiR is in the process of developing a second generation software to support its LDTs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DiamiR is expanding the capabilities of its current proprietary analytical software by adding Machine Learning and AI capabilities to it and training its classifier to optimize its performance.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 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JADBio is a vendor, similar to other vendors with which DiamiR can work; any data DiamiR generate belongs to DiamiR. DiamiR’s contract with JADBio expired in 2024 and DiamiR chose not to renew it at this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Develop proprietary LDTs </w:t>
      </w:r>
      <w:r>
        <w:rPr>
          <w:rFonts w:ascii="Times New Roman" w:cs="Times New Roman" w:eastAsia="Times New Roman" w:hAnsi="Times New Roman"/>
          <w:sz w:val="18"/>
          <w:szCs w:val="18"/>
          <w:color w:val="auto"/>
        </w:rPr>
        <w:t>in DiamiR’s CLIA-certified laboratory. DiamiR has the capacity to process between about 3500 – 5500 tests per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Implement a robust commercial strategy </w:t>
      </w:r>
      <w:r>
        <w:rPr>
          <w:rFonts w:ascii="Times New Roman" w:cs="Times New Roman" w:eastAsia="Times New Roman" w:hAnsi="Times New Roman"/>
          <w:sz w:val="18"/>
          <w:szCs w:val="18"/>
          <w:color w:val="auto"/>
        </w:rPr>
        <w:t>aimed at securing coverage and contracting with Medicare and private payors. Publishing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DiamiR’s tests’ validity and utility will drive its clinical work which in turn will power DiamiR’s reimbursement efforts.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Work closely with licensing and regulatory agencies </w:t>
      </w:r>
      <w:r>
        <w:rPr>
          <w:rFonts w:ascii="Times New Roman" w:cs="Times New Roman" w:eastAsia="Times New Roman" w:hAnsi="Times New Roman"/>
          <w:sz w:val="18"/>
          <w:szCs w:val="18"/>
          <w:color w:val="auto"/>
        </w:rPr>
        <w:t>to ensure that clinical validity and utility of the tests satisfy all necessary requirements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control standards. These include maintaining licenses with States department of Health, CLIA and College of American Pathology (CAP).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Build a pipeline/portfolio of early detection and risk assessment tests in Brain health and other indications, </w:t>
      </w:r>
      <w:r>
        <w:rPr>
          <w:rFonts w:ascii="Times New Roman" w:cs="Times New Roman" w:eastAsia="Times New Roman" w:hAnsi="Times New Roman"/>
          <w:sz w:val="18"/>
          <w:szCs w:val="18"/>
          <w:color w:val="auto"/>
        </w:rPr>
        <w:t>including tests for Rett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syndrome, and gastrointestinal (GI) and pulmonary (lung) cancers.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current clinical status and next development steps for DiamiR’s current “lead products,” along with the date DiamiR currently believes it will complete such next step towards launching the tests in clinical practice setting.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0"/>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Completion</w:t>
            </w:r>
          </w:p>
        </w:tc>
      </w:tr>
      <w:tr>
        <w:trPr>
          <w:trHeight w:val="28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Product/Indication</w:t>
            </w:r>
          </w:p>
        </w:tc>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7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Next Step</w:t>
            </w:r>
          </w:p>
        </w:tc>
        <w:tc>
          <w:tcPr>
            <w:tcW w:w="202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Date of Next Step</w:t>
            </w:r>
            <w:r>
              <w:rPr>
                <w:rFonts w:ascii="Times New Roman" w:cs="Times New Roman" w:eastAsia="Times New Roman" w:hAnsi="Times New Roman"/>
                <w:sz w:val="29"/>
                <w:szCs w:val="29"/>
                <w:b w:val="1"/>
                <w:bCs w:val="1"/>
                <w:color w:val="auto"/>
                <w:w w:val="96"/>
                <w:vertAlign w:val="superscript"/>
              </w:rPr>
              <w:t>(1)</w:t>
            </w:r>
          </w:p>
        </w:tc>
      </w:tr>
      <w:tr>
        <w:trPr>
          <w:trHeight w:val="257"/>
        </w:trPr>
        <w:tc>
          <w:tcPr>
            <w:tcW w:w="362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APOE Genotyping Test/AD</w:t>
            </w:r>
            <w:r>
              <w:rPr>
                <w:rFonts w:ascii="Times New Roman" w:cs="Times New Roman" w:eastAsia="Times New Roman" w:hAnsi="Times New Roman"/>
                <w:sz w:val="29"/>
                <w:szCs w:val="29"/>
                <w:color w:val="auto"/>
                <w:vertAlign w:val="superscript"/>
              </w:rPr>
              <w:t>(2)</w:t>
            </w:r>
          </w:p>
        </w:tc>
        <w:tc>
          <w:tcPr>
            <w:tcW w:w="120" w:type="dxa"/>
            <w:vAlign w:val="bottom"/>
            <w:tcBorders>
              <w:top w:val="single" w:sz="8" w:color="CCEEFF"/>
            </w:tcBorders>
            <w:shd w:val="clear" w:color="auto" w:fill="CCEEFF"/>
          </w:tcPr>
          <w:p>
            <w:pPr>
              <w:spacing w:after="0"/>
              <w:rPr>
                <w:sz w:val="22"/>
                <w:szCs w:val="22"/>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Validated</w:t>
            </w:r>
          </w:p>
        </w:tc>
        <w:tc>
          <w:tcPr>
            <w:tcW w:w="120" w:type="dxa"/>
            <w:vAlign w:val="bottom"/>
            <w:tcBorders>
              <w:top w:val="single" w:sz="8" w:color="CCEEFF"/>
            </w:tcBorders>
            <w:shd w:val="clear" w:color="auto" w:fill="CCEEFF"/>
          </w:tcPr>
          <w:p>
            <w:pPr>
              <w:spacing w:after="0"/>
              <w:rPr>
                <w:sz w:val="22"/>
                <w:szCs w:val="22"/>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Ready for commercial launch</w:t>
            </w:r>
          </w:p>
        </w:tc>
        <w:tc>
          <w:tcPr>
            <w:tcW w:w="10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56"/>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/MCI &amp; AD</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 Optimization</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Validation Study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RETT Syndrome Test</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Validation Study</w:t>
            </w: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Pre-Commercial Activities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56"/>
        </w:trPr>
        <w:tc>
          <w:tcPr>
            <w:tcW w:w="3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Blood Protein Biomarker Panel/MCI &amp; AD</w:t>
            </w:r>
            <w:r>
              <w:rPr>
                <w:rFonts w:ascii="Times New Roman" w:cs="Times New Roman" w:eastAsia="Times New Roman" w:hAnsi="Times New Roman"/>
                <w:sz w:val="29"/>
                <w:szCs w:val="29"/>
                <w:color w:val="auto"/>
                <w:vertAlign w:val="superscript"/>
              </w:rPr>
              <w:t>(3)</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Vendor/Platform Selection</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Analytical Validation Study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Glioblastoma Panel</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Proof-of-Concept Study</w:t>
            </w: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Analytical Validation Study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Pulmonary Cancer Panel</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Proof-of-Concept Study Completed</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Analytical Validation Study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 Cancer Panel</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Proof-of-Concept Study Completed</w:t>
            </w: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Analytical Validation Study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bl>
    <w:p>
      <w:pPr>
        <w:spacing w:after="0" w:line="225" w:lineRule="exact"/>
        <w:rPr>
          <w:sz w:val="20"/>
          <w:szCs w:val="20"/>
          <w:color w:val="auto"/>
        </w:rPr>
      </w:pPr>
    </w:p>
    <w:p>
      <w:pPr>
        <w:ind w:left="380" w:right="40" w:hanging="345"/>
        <w:spacing w:after="0" w:line="292" w:lineRule="auto"/>
        <w:tabs>
          <w:tab w:leader="none" w:pos="3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DiamiR’s current estimated completion date for the tasks listed as “next steps” in the table above and is subject to the closing of the merger and the availability of future financing. See,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Pathway and Timeline.”</w:t>
      </w:r>
    </w:p>
    <w:p>
      <w:pPr>
        <w:spacing w:after="0" w:line="57" w:lineRule="exact"/>
        <w:rPr>
          <w:rFonts w:ascii="Times New Roman" w:cs="Times New Roman" w:eastAsia="Times New Roman" w:hAnsi="Times New Roman"/>
          <w:sz w:val="18"/>
          <w:szCs w:val="18"/>
          <w:color w:val="auto"/>
        </w:rPr>
      </w:pPr>
    </w:p>
    <w:p>
      <w:pPr>
        <w:ind w:left="340" w:right="20" w:hanging="332"/>
        <w:spacing w:after="0" w:line="29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commercial test available through multiple vendors that DiamiR has analytically validated in its lab under CLIA requirements, but the current plan is to launch it in conjunction with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 either a standalone product or part of the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w:t>
      </w:r>
    </w:p>
    <w:p>
      <w:pPr>
        <w:spacing w:after="0" w:line="3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vendors offer commercial kits for a number of blood protein markets; once DiamiR chooses an appropriate kit/vendor, it will analytically validate those selected kits in its labs under CLIA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p>
      <w:pPr>
        <w:spacing w:after="0" w:line="180" w:lineRule="exact"/>
        <w:rPr>
          <w:sz w:val="20"/>
          <w:szCs w:val="20"/>
          <w:color w:val="auto"/>
        </w:rPr>
      </w:pPr>
    </w:p>
    <w:p>
      <w:pPr>
        <w:jc w:val="both"/>
        <w:ind w:left="1300" w:hanging="647"/>
        <w:spacing w:after="0" w:line="261" w:lineRule="auto"/>
        <w:rPr>
          <w:sz w:val="20"/>
          <w:szCs w:val="20"/>
          <w:color w:val="auto"/>
        </w:rPr>
      </w:pPr>
      <w:r>
        <w:rPr>
          <w:rFonts w:ascii="Times New Roman" w:cs="Times New Roman" w:eastAsia="Times New Roman" w:hAnsi="Times New Roman"/>
          <w:sz w:val="18"/>
          <w:szCs w:val="18"/>
          <w:color w:val="auto"/>
        </w:rPr>
        <w:t>Step 1: 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p>
      <w:pPr>
        <w:spacing w:after="0" w:line="180"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Step 2: Analytical Validation Study. In this step DiamiR’s goal is to determine key analytical validation metrics, as required by CLIA guidelines, for the pipeline product. Using synthetic controls and/or call lines and clinical samples DiamiR establishes:</w:t>
      </w:r>
    </w:p>
    <w:p>
      <w:pPr>
        <w:spacing w:after="0" w:line="162" w:lineRule="exact"/>
        <w:rPr>
          <w:sz w:val="20"/>
          <w:szCs w:val="20"/>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Reproducibility;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Reportable ranges for the assay.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 will also run the assay by multiple operators over different days to establish the test’s inter and intra-run reproducibility metrics.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Test optimization refers to finalizing the testing parameters and locking in the Standard Operating Procedures (SOPs) and finalizing algorithms used to analyze the raw data from DiamiR’s runs.</w:t>
      </w:r>
    </w:p>
    <w:p>
      <w:pPr>
        <w:spacing w:after="0" w:line="162"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Step 3: Clinical Validation Study. In this step, the tests’ performance characteristics will be determined using clinical samples with known outcomes. By comparing DiamiR’s test results with clinical outcomes, DiamiR determined the assays:</w:t>
      </w:r>
    </w:p>
    <w:p>
      <w:pPr>
        <w:spacing w:after="0" w:line="162" w:lineRule="exact"/>
        <w:rPr>
          <w:sz w:val="20"/>
          <w:szCs w:val="20"/>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Accuracy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Area Under the Curve (AUC, a measure of difference between diseased and non-diseased samples)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 measure of Test’s ability to designate an individual with disease as positive)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Specificity (a measure of Test’s ability to designate an individual who does not have a disease as negative)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Predictive Value (NPV)</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Predictive Value (PPV)</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A test with robust Clinical Validation results can be made commercially available.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Once a test has successfully completed all three steps noted above, it can be commercialized. However, a producer/manufacturer may decide not to move to commercialize the test until it receives sufficient reimbursement coverage.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spacing w:after="0" w:line="19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While DiamiR plans on conducting Clinical Utility studies for its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of DiamiR’s pipeline products DiamiR plans on utilizing the LDT path to market.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miRNAs are Powerful and Patient-Friendly Biomarkers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1691005</wp:posOffset>
            </wp:positionH>
            <wp:positionV relativeFrom="page">
              <wp:posOffset>568960</wp:posOffset>
            </wp:positionV>
            <wp:extent cx="4140200" cy="24777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414020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https://pubmed.ncbi.nlm.nih.gov/?term=alzhemiers+microRNA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Biology of miRNAs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vitro analysis of miRNAs as potential biomarkers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 be of practical use. (Advances in multiplexed techniques for the detection and quantification of microRNAs. Jet et. al., Chem. Soc. Rev., 2021, 50, 4141-416 &amp;Direct detection and quantification of microRNAs. Hunt et. al. Anal Biochem. 2009 Apr 1; 387(1): 1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128270</wp:posOffset>
            </wp:positionV>
            <wp:extent cx="4620260" cy="25203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202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Summary of Current Approaches to Analysis of miRNA in Plasma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6" w:name="page187"/>
    <w:bookmarkEnd w:id="18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In the table above, the main advantage of the first approach </w:t>
      </w:r>
      <w:r>
        <w:rPr>
          <w:rFonts w:ascii="Times New Roman" w:cs="Times New Roman" w:eastAsia="Times New Roman" w:hAnsi="Times New Roman"/>
          <w:sz w:val="18"/>
          <w:szCs w:val="18"/>
          <w:b w:val="1"/>
          <w:bCs w:val="1"/>
          <w:color w:val="auto"/>
        </w:rPr>
        <w:t>[miRNA Array/NGS</w:t>
      </w:r>
      <w:r>
        <w:rPr>
          <w:rFonts w:ascii="Times New Roman" w:cs="Times New Roman" w:eastAsia="Times New Roman" w:hAnsi="Times New Roman"/>
          <w:sz w:val="18"/>
          <w:szCs w:val="18"/>
          <w:color w:val="auto"/>
        </w:rPr>
        <w:t>], i.e. the ability to test hundreds of miRNAs and its disadvantages, namely lower sensitivity and higher variability as compared to RT-PCR are reported in the following references.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Lodes MJ, Caraballo M, Suciu D, Munro S, Kumar A, Anderson B. Detection of cancer with serum miRNAs on an oligonucleotide microarray.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PLoS One. 4, e6229 (2009). PMID: 19597549.</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Moldovan L, Batte KE, Trgovcich J, Wisler J, Marsh CB, Piper M. Methodological challenges in utilizing miRNAs as circulating biomarkers. J Cell Mol Med. 18, 371-390 (2014) PMID: 24533657.</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advantages and disadvantages of the second approach </w:t>
      </w:r>
      <w:r>
        <w:rPr>
          <w:rFonts w:ascii="Times New Roman" w:cs="Times New Roman" w:eastAsia="Times New Roman" w:hAnsi="Times New Roman"/>
          <w:sz w:val="18"/>
          <w:szCs w:val="18"/>
          <w:b w:val="1"/>
          <w:bCs w:val="1"/>
          <w:color w:val="auto"/>
        </w:rPr>
        <w:t>[Disease Specific Analysis]</w:t>
      </w:r>
      <w:r>
        <w:rPr>
          <w:rFonts w:ascii="Times New Roman" w:cs="Times New Roman" w:eastAsia="Times New Roman" w:hAnsi="Times New Roman"/>
          <w:sz w:val="18"/>
          <w:szCs w:val="18"/>
          <w:color w:val="auto"/>
        </w:rPr>
        <w:t xml:space="preserve"> summarized in the table are reported in the following references: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Haider BA, Baras AS, McCall MN, Hertel JA, Cornish TC, Halushka MK. A Critical Evaluation of microRNA Biomarkers in Non-Neoplastic Disease. PLoS One. 9, e89565 (2014). PMID: 24586876.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Cuk, K., Zucknick, M., Heil, J., Madhavan, D., Schott, S., Turchinovich, A., Arlt, D., Rath, M., Sohn, C., Benner, A., Junkermann, H., Schneeweiss, A., and Burwinkel, B. (2013). Circulating microRNAs in plasma as early detection markers for breast cancer. Int. J. Cancer 132, 1602-12. PMID: 22927033.</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third approach </w:t>
      </w:r>
      <w:r>
        <w:rPr>
          <w:rFonts w:ascii="Times New Roman" w:cs="Times New Roman" w:eastAsia="Times New Roman" w:hAnsi="Times New Roman"/>
          <w:sz w:val="18"/>
          <w:szCs w:val="18"/>
          <w:b w:val="1"/>
          <w:bCs w:val="1"/>
          <w:color w:val="auto"/>
        </w:rPr>
        <w:t>[Organ/cell specific analysis]</w:t>
      </w:r>
      <w:r>
        <w:rPr>
          <w:rFonts w:ascii="Times New Roman" w:cs="Times New Roman" w:eastAsia="Times New Roman" w:hAnsi="Times New Roman"/>
          <w:sz w:val="18"/>
          <w:szCs w:val="18"/>
          <w:color w:val="auto"/>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Times New Roman" w:cs="Times New Roman" w:eastAsia="Times New Roman" w:hAnsi="Times New Roman"/>
          <w:sz w:val="18"/>
          <w:szCs w:val="18"/>
          <w:i w:val="1"/>
          <w:iCs w:val="1"/>
          <w:color w:val="auto"/>
        </w:rPr>
        <w:t>vs.</w:t>
      </w:r>
      <w:r>
        <w:rPr>
          <w:rFonts w:ascii="Times New Roman" w:cs="Times New Roman" w:eastAsia="Times New Roman" w:hAnsi="Times New Roman"/>
          <w:sz w:val="18"/>
          <w:szCs w:val="18"/>
          <w:color w:val="auto"/>
        </w:rPr>
        <w:t xml:space="preserve"> other approaches to identifying miRNA biomarkers are summarized in the table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In summary, miRNAs are powerful biomarkers, because:</w:t>
      </w:r>
    </w:p>
    <w:p>
      <w:pPr>
        <w:spacing w:after="0" w:line="229" w:lineRule="exact"/>
        <w:rPr>
          <w:sz w:val="20"/>
          <w:szCs w:val="20"/>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miRNAs are enriched 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organs in the body (e.g. brain)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 regions or tissues in an organ (e.g. hippocampus)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types (e.g. neurons)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compartments within a cell (e.g. neurites, synapses)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miRNAs appear in blood because they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secreted/excreted into extracellular space in normal cellular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cross the blood-brain barrier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stable in circulation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technologies are available for miRNA detection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miRNAs are reflective of the biology of the disease at the time of biological samples are collected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miRNAs are stable analytes and can be handled in the lab without degradation concerns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Thus, miRNAs from the brain can be interrogated using a routine blood sample.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Specific Detection of MCI and 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MCI and AD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Both the number of AD patients and the number of people at risk for developing AD are growing rapidly, especially in the developed countries, in part due to increased lifespan.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Early diagnosis and intervention are keys to developing more effective treatment, or potentially prevention, of AD. Alzheimer’s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2025 Alzheimer’s Disease Facts and Figures (</w:t>
      </w:r>
      <w:r>
        <w:rPr>
          <w:rFonts w:ascii="Times New Roman" w:cs="Times New Roman" w:eastAsia="Times New Roman" w:hAnsi="Times New Roman"/>
          <w:sz w:val="18"/>
          <w:szCs w:val="18"/>
          <w:i w:val="1"/>
          <w:iCs w:val="1"/>
          <w:color w:val="auto"/>
        </w:rPr>
        <w:t>https://www.alz.org/media/documents/alzheimers-facts-and-figures.pdf</w:t>
      </w:r>
      <w:r>
        <w:rPr>
          <w:rFonts w:ascii="Times New Roman" w:cs="Times New Roman" w:eastAsia="Times New Roman" w:hAnsi="Times New Roman"/>
          <w:sz w:val="18"/>
          <w:szCs w:val="18"/>
          <w:color w:val="auto"/>
        </w:rPr>
        <w:t>) provides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statistics:</w:t>
      </w:r>
    </w:p>
    <w:p>
      <w:pPr>
        <w:spacing w:after="0" w:line="207" w:lineRule="exact"/>
        <w:rPr>
          <w:sz w:val="20"/>
          <w:szCs w:val="20"/>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estimated 7.2 million Americans age 65 and older are living with Alzheimer’s in 2025. Seventy-four percent are age 75 or 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1 in 9 people age 65 and older (11%) has Alzheimer’s.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Almost two-thirds of Americans with Alzheimer’s are women.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Older Black Americans are about twice as likely to have Alzheimer’s or other dementias as older Whites.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Older Hispanics are about one and one-half times as likely to have Alzheimer’s or other dementias as older Whites.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8" w:name="page189"/>
    <w:bookmarkEnd w:id="188"/>
    <w:p>
      <w:pPr>
        <w:ind w:left="980" w:right="2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younger than 65 can also develop Alzheimer’s dementia. Although prevalence studies are limited, researchers believe about 110 of every 100,000 people age 30 to 64 years, or about 200,000 Americans in total, have younger-onset dementia.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Someone in the US develops AD every 67 seconds and by 2050 one new case of AD is expected to develop every 33 seconds (~1M new cases per year);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Deaths due to Alzheimer’s disease between 2000 and 2019 have more than doubled, increasing 145%.</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people aged 70, 61% of those with Alzheimer’s dementia are expected to die before age 80, compared with 30% of people without Alzheimer’s dementia.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results in a significant cost burden to families, and payors such as Medicare and Medicaid: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total payments for all individuals with Alzheimer’s disease or other dementias are estimated at $384 billion (not including unpaid caregiving).</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and Medicaid are expected to cover $245 billion, or 64%, of the total health care and long-term care payments for people with Alzheimer’s disease or other dementias. Out-of-pocket spending is expected to be around $97B in 2025.</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payments for health care, long-term care and hospice care for people with Alzheimer’s disease and other dementias are projected to increase to nearly $1 trillion in 2050.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total lifetime cost of care for someone with dementia is estimated at $371,621.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Changes in Selected Causes of Death (All Ages) in the US between 2000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156845</wp:posOffset>
            </wp:positionV>
            <wp:extent cx="4568825" cy="31629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6882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9" w:name="page190"/>
    <w:bookmarkEnd w:id="18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Times New Roman" w:cs="Times New Roman" w:eastAsia="Times New Roman" w:hAnsi="Times New Roman"/>
          <w:sz w:val="18"/>
          <w:szCs w:val="18"/>
          <w:i w:val="1"/>
          <w:iCs w:val="1"/>
          <w:color w:val="auto"/>
        </w:rPr>
        <w:t>https://investor.lilly.com/news-releases/news-release-details/lillysdonanemab-significantly-slowed-cognitive-and-functional</w:t>
      </w:r>
      <w:r>
        <w:rPr>
          <w:rFonts w:ascii="Times New Roman" w:cs="Times New Roman" w:eastAsia="Times New Roman" w:hAnsi="Times New Roman"/>
          <w:sz w:val="18"/>
          <w:szCs w:val="18"/>
          <w:color w:val="auto"/>
        </w:rPr>
        <w:t>) and the Phase 3 randomized study data for lecanemab done by Eiasi and Biogen in November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https://investors.biogen.com/news-releases/news-release-details/fda-grants-traditionalapproval- leqembir-lecanemab-irmb</w:t>
      </w:r>
      <w:r>
        <w:rPr>
          <w:rFonts w:ascii="Times New Roman" w:cs="Times New Roman" w:eastAsia="Times New Roman" w:hAnsi="Times New Roman"/>
          <w:sz w:val="18"/>
          <w:szCs w:val="18"/>
          <w:color w:val="auto"/>
        </w:rPr>
        <w:t>). On July 6, 2023, the FDA granted full approval for lecanemab, 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Times New Roman" w:cs="Times New Roman" w:eastAsia="Times New Roman" w:hAnsi="Times New Roman"/>
          <w:sz w:val="18"/>
          <w:szCs w:val="18"/>
          <w:i w:val="1"/>
          <w:iCs w:val="1"/>
          <w:color w:val="auto"/>
        </w:rPr>
        <w:t>https://investor.lilly.com/news-releases/news-release-details/lillys-kisunlatm-donanemab-azbt-approved-fda-treatment-early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spacing w:after="0" w:line="18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In May 2025, the FDA granted 510(k) clearance for the Fujirebio’s Lumipulse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 pTau 217/β-Amyloid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Currently it is accepted that AD dementia is preceded by 10-20 years of the disease development, initially without clinical symptoms (pre-symptomatic AD), and then eventually manifested as MCI, followed by onset of dementia and clinical AD symptoms. Notably, 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0" w:name="page191"/>
    <w:bookmarkEnd w:id="19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cognitive testing cannot reliably identify patients in pre-symptomatic stages of AD, effective biomarkers are necessary for successful patient enrollment and treatment monitoring.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Times New Roman" w:cs="Times New Roman" w:eastAsia="Times New Roman" w:hAnsi="Times New Roman"/>
          <w:sz w:val="18"/>
          <w:szCs w:val="18"/>
          <w:i w:val="1"/>
          <w:iCs w:val="1"/>
          <w:color w:val="auto"/>
        </w:rPr>
        <w:t>Lancet Neurol</w:t>
      </w:r>
      <w:r>
        <w:rPr>
          <w:rFonts w:ascii="Times New Roman" w:cs="Times New Roman" w:eastAsia="Times New Roman" w:hAnsi="Times New Roman"/>
          <w:sz w:val="18"/>
          <w:szCs w:val="18"/>
          <w:color w:val="auto"/>
        </w:rPr>
        <w:t xml:space="preserve"> 9:119; Sperling et al. (2011) </w:t>
      </w:r>
      <w:r>
        <w:rPr>
          <w:rFonts w:ascii="Times New Roman" w:cs="Times New Roman" w:eastAsia="Times New Roman" w:hAnsi="Times New Roman"/>
          <w:sz w:val="18"/>
          <w:szCs w:val="18"/>
          <w:i w:val="1"/>
          <w:iCs w:val="1"/>
          <w:color w:val="auto"/>
        </w:rPr>
        <w:t>Alzheimers Dement.</w:t>
      </w:r>
      <w:r>
        <w:rPr>
          <w:rFonts w:ascii="Times New Roman" w:cs="Times New Roman" w:eastAsia="Times New Roman" w:hAnsi="Times New Roman"/>
          <w:sz w:val="18"/>
          <w:szCs w:val="18"/>
          <w:color w:val="auto"/>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130810</wp:posOffset>
            </wp:positionV>
            <wp:extent cx="3522980" cy="15862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2298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Stages of Neurodegeneration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New research consortiums such as the Alzheimer’s Disease Neuro-imaging Initiative (ADNI) in the US (</w:t>
      </w:r>
      <w:r>
        <w:rPr>
          <w:rFonts w:ascii="Times New Roman" w:cs="Times New Roman" w:eastAsia="Times New Roman" w:hAnsi="Times New Roman"/>
          <w:sz w:val="18"/>
          <w:szCs w:val="18"/>
          <w:i w:val="1"/>
          <w:iCs w:val="1"/>
          <w:color w:val="auto"/>
        </w:rPr>
        <w:t>http://www.adni-info.org/</w:t>
      </w:r>
      <w:r>
        <w:rPr>
          <w:rFonts w:ascii="Times New Roman" w:cs="Times New Roman" w:eastAsia="Times New Roman" w:hAnsi="Times New Roman"/>
          <w:sz w:val="18"/>
          <w:szCs w:val="18"/>
          <w:color w:val="auto"/>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 delinquency, particularly for mortgage and credit cards, “years prior to eventual diagnosis.” DiamiR believes these data on financial impact of neurodegenerative diseases, such as MCI and AD, on patients and their families further supports the importance of developing and making available minimally invasive biomarkers, such as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for early detection, including at pre-symptomatic stages, for broader use.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PANEL OF miRNA BIOMARKERS for MCI and AD RISK ASSESSMENT</w:t>
      </w:r>
    </w:p>
    <w:p>
      <w:pPr>
        <w:spacing w:after="0" w:line="14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table below presents the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of miRNA biomarkers in its current form. The miRNAs listed below are detectable in blood plasma and include miRNAs which are enriched in specific brain regions and present in synapses and those associated with inflammation. In 2023 DiamiR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completed analytical validation of the technology, demonstrating that all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miRNAs can be reliably and consistently detected in plasma samples (Kunwar et al. (2023) Diagnostics 13:2170). In 2H 2023 DiamiR introduced machine learning with AI analytics into its laboratory to optimize the panel, and, if feasible, reduce the number of miRNAs in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improve COGS and laboratory workflow without sacrificing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60960</wp:posOffset>
            </wp:positionV>
            <wp:extent cx="4234815" cy="382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3481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Brain-enriched miRNAs detectable in blood plasma hold strong potential as peripheral biomarkers of AD and AD related dementias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DIFFERENTIATION BETWEEN MCI AND AGE-MATCHED CONTROL</w:t>
      </w:r>
    </w:p>
    <w:p>
      <w:pPr>
        <w:spacing w:after="0" w:line="229" w:lineRule="exact"/>
        <w:rPr>
          <w:sz w:val="20"/>
          <w:szCs w:val="20"/>
          <w:color w:val="auto"/>
        </w:rPr>
      </w:pPr>
    </w:p>
    <w:p>
      <w:pPr>
        <w:jc w:val="both"/>
        <w:ind w:right="6620"/>
        <w:spacing w:after="0" w:line="273" w:lineRule="auto"/>
        <w:rPr>
          <w:sz w:val="20"/>
          <w:szCs w:val="20"/>
          <w:color w:val="auto"/>
        </w:rPr>
      </w:pPr>
      <w:r>
        <w:rPr>
          <w:rFonts w:ascii="Times New Roman" w:cs="Times New Roman" w:eastAsia="Times New Roman" w:hAnsi="Times New Roman"/>
          <w:sz w:val="17"/>
          <w:szCs w:val="17"/>
          <w:color w:val="auto"/>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-975995</wp:posOffset>
            </wp:positionV>
            <wp:extent cx="2597150" cy="1405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97150" cy="1405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(Aging, 2012, 4:590; Aging, 2013, 5:925)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color w:val="auto"/>
        </w:rPr>
        <w:t>DIFFERENTIATION OF AD FROM OTHER NEURODEGENERATIVE DISEASES</w:t>
      </w:r>
    </w:p>
    <w:p>
      <w:pPr>
        <w:spacing w:after="0" w:line="241" w:lineRule="exact"/>
        <w:rPr>
          <w:sz w:val="20"/>
          <w:szCs w:val="20"/>
          <w:color w:val="auto"/>
        </w:rPr>
      </w:pPr>
    </w:p>
    <w:p>
      <w:pPr>
        <w:jc w:val="both"/>
        <w:ind w:right="5519"/>
        <w:spacing w:after="0" w:line="254" w:lineRule="auto"/>
        <w:rPr>
          <w:sz w:val="20"/>
          <w:szCs w:val="20"/>
          <w:color w:val="auto"/>
        </w:rPr>
      </w:pPr>
      <w:r>
        <w:rPr>
          <w:rFonts w:ascii="Times New Roman" w:cs="Times New Roman" w:eastAsia="Times New Roman" w:hAnsi="Times New Roman"/>
          <w:sz w:val="18"/>
          <w:szCs w:val="18"/>
          <w:color w:val="auto"/>
        </w:rPr>
        <w:t>In a study conducted with samples collected at the University of Pennsylvania, miRNA pairs and classifiers differentiated AD/PD/FTD/ALS from controls (n=250) with accuracies of 0.89/0.90/0.88/0.83 (AUCs: 0.96/0.96/0.94/0.93); and NDs from each other with accuracy/AUC ranging from 0.77/0.87 for AD vs. FTD to 0.93/0.98 for AD vs. ALS. The data indicated sex-related effects of some miRNA markers; the average increase in accuracy in distinguishing ND from control for all and male/female groups was .06.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-1239520</wp:posOffset>
            </wp:positionV>
            <wp:extent cx="3060065" cy="11315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60065" cy="113157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(Alzheimer’s Research &amp; Therapy, 2017, 9:89)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PREDICTION OF PROGRESSION IN SEX-STRATIFIED GROUPS</w:t>
      </w:r>
    </w:p>
    <w:p>
      <w:pPr>
        <w:spacing w:after="0" w:line="229" w:lineRule="exact"/>
        <w:rPr>
          <w:sz w:val="20"/>
          <w:szCs w:val="20"/>
          <w:color w:val="auto"/>
        </w:rPr>
      </w:pPr>
    </w:p>
    <w:p>
      <w:pPr>
        <w:jc w:val="both"/>
        <w:ind w:right="5519"/>
        <w:spacing w:after="0" w:line="253" w:lineRule="auto"/>
        <w:rPr>
          <w:sz w:val="20"/>
          <w:szCs w:val="20"/>
          <w:color w:val="auto"/>
        </w:rPr>
      </w:pPr>
      <w:r>
        <w:rPr>
          <w:rFonts w:ascii="Times New Roman" w:cs="Times New Roman" w:eastAsia="Times New Roman" w:hAnsi="Times New Roman"/>
          <w:sz w:val="18"/>
          <w:szCs w:val="18"/>
          <w:color w:val="auto"/>
        </w:rPr>
        <w:t>In a study conducted with plasma samples collected at Washington University, St Louis, MO, miRNA pairs differentiated asymptomatic study participants, with CDR 0 at the time of blood collection, who would progress to MCI (“progressors”, n=42, on average 6 years) from those who would remain cognitively normal (“non-progressors”, n=42) with an accuracy/AUC of 0.75/0.79. Both “progressor” and “non-progressor” groups included amyloid-positive and amyloid-negative participants as determined by CSF Aβ. Considering sex as a biological variable increased the accuracy/AUC to 0.85/0.88 (male) and 0.84/0.86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-1511935</wp:posOffset>
            </wp:positionV>
            <wp:extent cx="2614295" cy="908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14295" cy="90868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Clinical Trials on Alzheimer’s Disease (CTAD), 2017,</w:t>
      </w:r>
    </w:p>
    <w:p>
      <w:pPr>
        <w:spacing w:after="0"/>
        <w:rPr>
          <w:sz w:val="20"/>
          <w:szCs w:val="20"/>
          <w:color w:val="auto"/>
        </w:rPr>
      </w:pPr>
      <w:r>
        <w:rPr>
          <w:rFonts w:ascii="Times New Roman" w:cs="Times New Roman" w:eastAsia="Times New Roman" w:hAnsi="Times New Roman"/>
          <w:sz w:val="18"/>
          <w:szCs w:val="18"/>
          <w:color w:val="auto"/>
        </w:rPr>
        <w:t>Boston, MA, poster presentation)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DEFINING CLINICALLY RELEVANT PATIENT GROUPS</w:t>
      </w:r>
    </w:p>
    <w:p>
      <w:pPr>
        <w:spacing w:after="0" w:line="229" w:lineRule="exact"/>
        <w:rPr>
          <w:sz w:val="20"/>
          <w:szCs w:val="20"/>
          <w:color w:val="auto"/>
        </w:rPr>
      </w:pPr>
    </w:p>
    <w:p>
      <w:pPr>
        <w:jc w:val="both"/>
        <w:ind w:right="5519"/>
        <w:spacing w:after="0" w:line="261" w:lineRule="auto"/>
        <w:rPr>
          <w:sz w:val="20"/>
          <w:szCs w:val="20"/>
          <w:color w:val="auto"/>
        </w:rPr>
      </w:pPr>
      <w:r>
        <w:rPr>
          <w:rFonts w:ascii="Times New Roman" w:cs="Times New Roman" w:eastAsia="Times New Roman" w:hAnsi="Times New Roman"/>
          <w:sz w:val="18"/>
          <w:szCs w:val="18"/>
          <w:color w:val="auto"/>
        </w:rPr>
        <w:t>The main objective of this study was to evaluate correlations and associations between the 24 miRNAs constituting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-273685</wp:posOffset>
            </wp:positionV>
            <wp:extent cx="3103245" cy="18427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03245" cy="1842770"/>
                    </a:xfrm>
                    <a:prstGeom prst="rect">
                      <a:avLst/>
                    </a:prstGeom>
                    <a:noFill/>
                  </pic:spPr>
                </pic:pic>
              </a:graphicData>
            </a:graphic>
          </wp:anchor>
        </w:drawing>
      </w:r>
    </w:p>
    <w:p>
      <w:pPr>
        <w:jc w:val="both"/>
        <w:ind w:right="5519"/>
        <w:spacing w:after="0" w:line="234" w:lineRule="auto"/>
        <w:rPr>
          <w:sz w:val="20"/>
          <w:szCs w:val="20"/>
          <w:color w:val="auto"/>
        </w:rPr>
      </w:pPr>
      <w:r>
        <w:rPr>
          <w:rFonts w:ascii="Times New Roman" w:cs="Times New Roman" w:eastAsia="Times New Roman" w:hAnsi="Times New Roman"/>
          <w:sz w:val="18"/>
          <w:szCs w:val="18"/>
          <w:color w:val="auto"/>
        </w:rPr>
        <w:t>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of miRNA biomarkers, and demographic and clinical factors known to be associated with AD, such as age, sex, amyloid status, APOE genotype, p-tau and neurofilament light (NfL), in 299 plasma samples collected during screening for the Anti-Amyloid Treatment in Asymptomatic Alzheimer’s (A4) prevention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93" w:name="page194"/>
    <w:bookmarkEnd w:id="19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w:t>
      </w:r>
    </w:p>
    <w:p>
      <w:pPr>
        <w:spacing w:after="0" w:line="1" w:lineRule="exact"/>
        <w:rPr>
          <w:sz w:val="20"/>
          <w:szCs w:val="20"/>
          <w:color w:val="auto"/>
        </w:rPr>
      </w:pPr>
    </w:p>
    <w:p>
      <w:pPr>
        <w:jc w:val="both"/>
        <w:ind w:firstLine="8"/>
        <w:spacing w:after="0" w:line="253" w:lineRule="auto"/>
        <w:tabs>
          <w:tab w:leader="none" w:pos="1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results generated in this study indicate that levels of cell-free miRNA biomarker candidates have a strong potential to be used in combination with other AD markers and risk factors to better characterize preclinical AD patients.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Clinical Trials on Alzheimer’s Disease (CTAD), 2022, San Francisco, CA, poster presentation)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CHARACTERIZING HETEROGENEOUS GROUPS OF PATIENTS WITH MCI, PRE-MCI, AND DEMENTIA</w:t>
      </w:r>
    </w:p>
    <w:p>
      <w:pPr>
        <w:spacing w:after="0" w:line="22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In this study,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(Aβ+/-),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 biomarkers for</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better characterization of MCI/AD patients and understanding of AD-associated processes. Further, combining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miRNAs with other factors, such as amyloid and APOE, may enhance a biomarker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648585" cy="20059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4858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Separation of different subgroups using one pair, two pairs and three pairs of miRNAs. </w:t>
      </w:r>
      <w:r>
        <w:rPr>
          <w:rFonts w:ascii="Times New Roman" w:cs="Times New Roman" w:eastAsia="Times New Roman" w:hAnsi="Times New Roman"/>
          <w:sz w:val="18"/>
          <w:szCs w:val="18"/>
          <w:color w:val="auto"/>
        </w:rPr>
        <w:t>AUC: the area under the ROC curve.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(Alzheimer’s Association International Conference 2023, Amsterdam, Netherlands, poster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Times New Roman" w:cs="Times New Roman" w:eastAsia="Times New Roman" w:hAnsi="Times New Roman"/>
          <w:sz w:val="18"/>
          <w:szCs w:val="18"/>
          <w:i w:val="1"/>
          <w:iCs w:val="1"/>
          <w:color w:val="auto"/>
        </w:rPr>
        <w:t>https://www.prnewswire.com/news-releases/DiamiR-biosciences-announces-poster- presentation-at-2024-alzheimers-association-international-conference-aaic-302176323.html</w:t>
      </w:r>
      <w:r>
        <w:rPr>
          <w:rFonts w:ascii="Times New Roman" w:cs="Times New Roman" w:eastAsia="Times New Roman" w:hAnsi="Times New Roman"/>
          <w:sz w:val="18"/>
          <w:szCs w:val="18"/>
          <w:color w:val="auto"/>
        </w:rPr>
        <w:t>). On July 29, 2024, on behalf of DiamiR, Dr. Kumar reported the comparative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analysis of 24 microRNAs comprising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HEALTHY BRAIN AGING</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Using plasma samples collected at the New York Blood Center from cognitively unimpaired individuals 26-35, 36-45, 46-55, 56-65 and 66-75 years old, DiamiR has analyzed the levels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(Aging, 2018 10:3017; Aging, 2018, 10:2557)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CIRCULATING ORGAN-ENRICHED miRNAs AS BIOMARKERS OF RETT SYNDROME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Times New Roman" w:cs="Times New Roman" w:eastAsia="Times New Roman" w:hAnsi="Times New Roman"/>
          <w:sz w:val="18"/>
          <w:szCs w:val="18"/>
          <w:i w:val="1"/>
          <w:iCs w:val="1"/>
          <w:color w:val="auto"/>
        </w:rPr>
        <w:t xml:space="preserve">MECP2 </w:t>
      </w:r>
      <w:r>
        <w:rPr>
          <w:rFonts w:ascii="Times New Roman" w:cs="Times New Roman" w:eastAsia="Times New Roman" w:hAnsi="Times New Roman"/>
          <w:sz w:val="18"/>
          <w:szCs w:val="18"/>
          <w:color w:val="auto"/>
        </w:rPr>
        <w:t>genetic testing is widely available for RTT, biomarkers of RTT, including minimally invasive, blood-based indicators of disease severity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progression, are lacking. DiamiR is validating a sensitive assay for RTT staging/prognosis and disease and treatment monitoring.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hyperventilation/breathing problems (AUC=0.75), and epilepsy (AUC=0.89).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data supports the development of assays based on the analysis of cell-free brain/other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568960</wp:posOffset>
            </wp:positionV>
            <wp:extent cx="5143500" cy="33858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19, 2024, DiamiR made an oral presentation at the 2024 Rett Syndrome Scientific Meeting titled “Circulating Organ-enriched microRNAs as Biomarkers of Rett Syndrome” (</w:t>
      </w:r>
      <w:r>
        <w:rPr>
          <w:rFonts w:ascii="Times New Roman" w:cs="Times New Roman" w:eastAsia="Times New Roman" w:hAnsi="Times New Roman"/>
          <w:sz w:val="18"/>
          <w:szCs w:val="18"/>
          <w:i w:val="1"/>
          <w:iCs w:val="1"/>
          <w:color w:val="auto"/>
        </w:rPr>
        <w:t>https://www.prnewswire.com/news-releases/DiamiR-announces-oral-presentation-on-recent-advances-of-its-microrna-biomarker-platform-at-2024-international-rett-syndrome-foundation-scientific-meeting-302170263.html?tc= eml_cleartime</w:t>
      </w:r>
      <w:r>
        <w:rPr>
          <w:rFonts w:ascii="Times New Roman" w:cs="Times New Roman" w:eastAsia="Times New Roman" w:hAnsi="Times New Roman"/>
          <w:sz w:val="18"/>
          <w:szCs w:val="18"/>
          <w:color w:val="auto"/>
        </w:rPr>
        <w:t>).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DiamiR, Dr. Sheinerman presented findings from a 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 xml:space="preserve">To develop a marketable RTT diagnostic solution, DiamiR plans to offer both sequencing services (of the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and its proprietary miRNA panel. DiamiR is currently evaluating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vendors to develop a custom NGS assay for Rett syndrome on a MiSeQ platform (Illumina).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BEYOND BRAIN HEALTH: UNIVERSAL SCREENING TEST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8"/>
          <w:szCs w:val="18"/>
          <w:color w:val="auto"/>
        </w:rPr>
        <w:t>The figure below summarizes the approach and principal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43500" cy="2194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(Journal of Translational Medicine, 2013, 11:304)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ANALYTICAL PLATFORM FOR PLASMA miRNA DETECTION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2023, DiamiR completed an analytical validation of plasma miRNA detection in DiamiR CLIA laboratory. The platform is based on Qiagen’s LNA qPCR technology.</w:t>
      </w:r>
    </w:p>
    <w:p>
      <w:pPr>
        <w:spacing w:after="0" w:line="16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In this study, published in a peer-reviewed publication and reported at several scientific meetings (below), DiamiR has demonstrated that the 24 miRNA biomarker candidates comprising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panel, as well as additional miRNAs showing promise as RTT biomarker candidates, can be reliably and consistently detected in human plasma 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43500" cy="1568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Diagnostics, 2023, 13:2170; Rett Syndrome Foundation Research Trust Conference, 2023, Boston MA, poster presentation; Alzheimer’s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International Conference 2023, Amsterdam, Netherlands, poster presentation).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Publications and Presentations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last 12 years DiamiR has published a number of peer-reviewed papers describing its technology for identification of miRNA biomarker pairs (the contents of these publications are not part of, and are not incorporated by reference into, this prospectus):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Times New Roman" w:cs="Times New Roman" w:eastAsia="Times New Roman" w:hAnsi="Times New Roman"/>
          <w:sz w:val="18"/>
          <w:szCs w:val="18"/>
          <w:i w:val="1"/>
          <w:iCs w:val="1"/>
          <w:color w:val="auto"/>
        </w:rPr>
        <w:t>https://doi.org/10.3390/ diagnostics13132170</w:t>
      </w:r>
    </w:p>
    <w:p>
      <w:pPr>
        <w:spacing w:after="0" w:line="175"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Evaluation of long-term COVID-19. Michael C. Kiefer and Samuil R. Umansky. Aging (Albany NY), 13(12): 15691 – 15693 (2021)</w:t>
      </w:r>
    </w:p>
    <w:p>
      <w:pPr>
        <w:spacing w:after="0" w:line="221" w:lineRule="exact"/>
        <w:rPr>
          <w:rFonts w:ascii="Times New Roman" w:cs="Times New Roman" w:eastAsia="Times New Roman" w:hAnsi="Times New Roman"/>
          <w:sz w:val="18"/>
          <w:szCs w:val="18"/>
          <w:b w:val="1"/>
          <w:bCs w:val="1"/>
          <w:i w:val="1"/>
          <w:iCs w:val="1"/>
          <w:color w:val="auto"/>
        </w:rPr>
      </w:pPr>
    </w:p>
    <w:p>
      <w:pPr>
        <w:ind w:left="980" w:hanging="324"/>
        <w:spacing w:after="0" w:line="286" w:lineRule="auto"/>
        <w:tabs>
          <w:tab w:leader="none" w:pos="98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Brain-enriched microRNAs circulating in plasma as novel biomarkers for Rett syndrome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 Sheinerman, Aleksandra Djukic, Vladimir G. Tsivinsky, and Samuil R. Umansky. PLOS ONE 14(7): e0218623 (2019)</w:t>
      </w:r>
    </w:p>
    <w:p>
      <w:pPr>
        <w:spacing w:after="0" w:line="154" w:lineRule="exact"/>
        <w:rPr>
          <w:rFonts w:ascii="Times New Roman" w:cs="Times New Roman" w:eastAsia="Times New Roman" w:hAnsi="Times New Roman"/>
          <w:sz w:val="18"/>
          <w:szCs w:val="18"/>
          <w:b w:val="1"/>
          <w:bCs w:val="1"/>
          <w:i w:val="1"/>
          <w:iCs w:val="1"/>
          <w:color w:val="auto"/>
        </w:rPr>
      </w:pPr>
    </w:p>
    <w:p>
      <w:pPr>
        <w:ind w:left="980" w:hanging="324"/>
        <w:spacing w:after="0" w:line="286" w:lineRule="auto"/>
        <w:tabs>
          <w:tab w:leader="none" w:pos="98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Aging and aging-associated diseases: a microRNA-based endocrine regulation hypothesis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Samuil Umansky. Aging, Theory, 10(10): 2557-2569 (2018)</w:t>
      </w:r>
    </w:p>
    <w:p>
      <w:pPr>
        <w:spacing w:after="0" w:line="154" w:lineRule="exact"/>
        <w:rPr>
          <w:rFonts w:ascii="Times New Roman" w:cs="Times New Roman" w:eastAsia="Times New Roman" w:hAnsi="Times New Roman"/>
          <w:sz w:val="18"/>
          <w:szCs w:val="18"/>
          <w:b w:val="1"/>
          <w:bCs w:val="1"/>
          <w:i w:val="1"/>
          <w:iCs w:val="1"/>
          <w:color w:val="auto"/>
        </w:rPr>
      </w:pPr>
    </w:p>
    <w:p>
      <w:pPr>
        <w:ind w:left="980" w:hanging="324"/>
        <w:spacing w:after="0" w:line="286" w:lineRule="auto"/>
        <w:tabs>
          <w:tab w:leader="none" w:pos="98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Age- and sex-dependent changes in levels of circulating brain-enriched microRNAs during normal aging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 Sheinerman, Vladimir Tsivinsky, Aabhas Mathur, Debra Kessler, Beth Shaz and Samuil Umansky. Aging, Research, 10(10): 3017 – 3041 (2018)</w:t>
      </w:r>
    </w:p>
    <w:p>
      <w:pPr>
        <w:spacing w:after="0" w:line="155" w:lineRule="exact"/>
        <w:rPr>
          <w:sz w:val="20"/>
          <w:szCs w:val="20"/>
          <w:color w:val="auto"/>
        </w:rPr>
      </w:pPr>
    </w:p>
    <w:p>
      <w:pPr>
        <w:jc w:val="both"/>
        <w:ind w:left="980" w:hanging="319"/>
        <w:spacing w:after="0" w:line="262" w:lineRule="auto"/>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6.</w:t>
      </w:r>
      <w:r>
        <w:rPr>
          <w:sz w:val="20"/>
          <w:szCs w:val="20"/>
          <w:color w:val="auto"/>
        </w:rPr>
        <w:tab/>
      </w:r>
      <w:r>
        <w:rPr>
          <w:rFonts w:ascii="Times New Roman" w:cs="Times New Roman" w:eastAsia="Times New Roman" w:hAnsi="Times New Roman"/>
          <w:sz w:val="18"/>
          <w:szCs w:val="18"/>
          <w:color w:val="auto"/>
        </w:rPr>
        <w:t>Circulating brain-enriched microRNAs as novel biomarkers for detection and differentiation of neurodegenerative diseases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 S. Sheinerman, Jon B. Toledo, Vladimir G. Tsivinsky, David Irwin, Murray Grossman, Daniel Weintraub, Howard I. Hurtig, Alice Chen-Plotkin, David A. Wolk, Leo F. McCluskey, Lauren B. Elman, John Q. Trojanowski and Samuil R. Umansky. Alzheimer’s Research &amp; Therapy, 9:89 (2017)</w:t>
      </w:r>
    </w:p>
    <w:p>
      <w:pPr>
        <w:spacing w:after="0" w:line="176"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Universal screening test based on analysis of circulating organ-enriched microRNAs: a novel approach to diagnostic screening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w:t>
      </w:r>
    </w:p>
    <w:p>
      <w:pPr>
        <w:spacing w:after="0" w:line="31" w:lineRule="exact"/>
        <w:rPr>
          <w:rFonts w:ascii="Times New Roman" w:cs="Times New Roman" w:eastAsia="Times New Roman" w:hAnsi="Times New Roman"/>
          <w:sz w:val="18"/>
          <w:szCs w:val="18"/>
          <w:b w:val="1"/>
          <w:bCs w:val="1"/>
          <w:i w:val="1"/>
          <w:iCs w:val="1"/>
          <w:color w:val="auto"/>
        </w:rPr>
      </w:pPr>
    </w:p>
    <w:p>
      <w:pPr>
        <w:ind w:left="1180" w:hanging="200"/>
        <w:spacing w:after="0"/>
        <w:tabs>
          <w:tab w:leader="none" w:pos="11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Sheinerman and Samuil Umansky. Expert Review of Molecular Diagnostics, 3:329 (2015)</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Analysis of organ-enriched microRNAs in plasma as an approach to development of Universal Screening Test: feasibility study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w:t>
      </w:r>
    </w:p>
    <w:p>
      <w:pPr>
        <w:spacing w:after="0" w:line="31" w:lineRule="exact"/>
        <w:rPr>
          <w:rFonts w:ascii="Times New Roman" w:cs="Times New Roman" w:eastAsia="Times New Roman" w:hAnsi="Times New Roman"/>
          <w:sz w:val="18"/>
          <w:szCs w:val="18"/>
          <w:b w:val="1"/>
          <w:bCs w:val="1"/>
          <w:i w:val="1"/>
          <w:iCs w:val="1"/>
          <w:color w:val="auto"/>
        </w:rPr>
      </w:pPr>
    </w:p>
    <w:p>
      <w:pPr>
        <w:ind w:left="1180" w:hanging="200"/>
        <w:spacing w:after="0"/>
        <w:tabs>
          <w:tab w:leader="none" w:pos="11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Sheinerman, Vladimir G. Tsivinsky and Samuil R. Umansky. Journal of Translational Medicine, 11:304 (2013)</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Plasma microRNA biomarkers for detection of mild cognitive impairment: biomarker validation study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Kira S. Sheinerman, Vladimir</w:t>
      </w:r>
    </w:p>
    <w:p>
      <w:pPr>
        <w:spacing w:after="0" w:line="31" w:lineRule="exact"/>
        <w:rPr>
          <w:rFonts w:ascii="Times New Roman" w:cs="Times New Roman" w:eastAsia="Times New Roman" w:hAnsi="Times New Roman"/>
          <w:sz w:val="18"/>
          <w:szCs w:val="18"/>
          <w:b w:val="1"/>
          <w:bCs w:val="1"/>
          <w:i w:val="1"/>
          <w:iCs w:val="1"/>
          <w:color w:val="auto"/>
        </w:rPr>
      </w:pPr>
    </w:p>
    <w:p>
      <w:pPr>
        <w:ind w:left="1200" w:hanging="220"/>
        <w:spacing w:after="0"/>
        <w:tabs>
          <w:tab w:leader="none" w:pos="12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Tsivinsky, Laila Abdullah, Fiona Crawford and Samuil R. Umansky. Aging, 5: 925-938 (2013)</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Circulating cell-free microRNA as biomarkers for screening, diagnosis, and monitoring of neurodegenerative diseases and other neurologic pathologies. Kira S. Sheinerman and Samuil R. Umansky. Frontiers in Cellular Neuroscience, 7: 00150 (2013)</w:t>
      </w:r>
    </w:p>
    <w:p>
      <w:pPr>
        <w:spacing w:after="0" w:line="16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Early detection of neurodegenerative diseases: Circulating brain-enriched microRNA. Kira S. Sheinerman and Samuil R. Umansky</w:t>
      </w:r>
    </w:p>
    <w:p>
      <w:pPr>
        <w:spacing w:after="0" w:line="27"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(Editorial). Cell Cycle, 12: 1-2 (2013)</w:t>
      </w:r>
    </w:p>
    <w:p>
      <w:pPr>
        <w:spacing w:after="0" w:line="206" w:lineRule="exact"/>
        <w:rPr>
          <w:rFonts w:ascii="Times New Roman" w:cs="Times New Roman" w:eastAsia="Times New Roman" w:hAnsi="Times New Roman"/>
          <w:sz w:val="18"/>
          <w:szCs w:val="18"/>
          <w:b w:val="1"/>
          <w:bCs w:val="1"/>
          <w:i w:val="1"/>
          <w:iCs w:val="1"/>
          <w:color w:val="auto"/>
        </w:rPr>
      </w:pPr>
    </w:p>
    <w:p>
      <w:pPr>
        <w:ind w:left="980" w:hanging="324"/>
        <w:spacing w:after="0" w:line="282" w:lineRule="auto"/>
        <w:tabs>
          <w:tab w:leader="none" w:pos="98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Plasma microRNA biomarkers for detection of mild cognitive impairment. Kira S. Sheinerman, Vladimir G. Tsivinsky, Fiona Crawford, Michael J. Mullan, Laila Abdullah, and Samuil R. Umansky. Aging, 4: 590-607 (2012)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18"/>
          <w:szCs w:val="18"/>
          <w:color w:val="auto"/>
        </w:rPr>
        <w:t>DiamiR’s data was also presented at numerous scientific and industry conferences, most recently: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Child Neurology Society, October 2023, Vancouver, Canada,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Rett Syndrome Foundation Research Trust Conference, September 2023, Boston MA,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Alzheimer’s Association International Conference 2023, Amsterdam, Netherlands,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Clinical Trials on Alzheimer’s Disease (CTAD), San Francisco, CA,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Alzheimer’s Association International Conference 2022, San Diego, 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and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and continues to support development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 has received non-dilutive funding to support its work. Below is a summary of DiamiR’s awards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154305</wp:posOffset>
            </wp:positionV>
            <wp:extent cx="4972050" cy="3583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7205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grants from the National Institutes of Health (NIH).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NIH/NIA SBIR CRP Grant Number 2R44AG044860-07 09/01/2020 – 04/30/2024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Brain-enriched microRNAs detectable in plasma as biomarkers of Alzheimer’s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Analytical validation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 panel, and other studies supporting commercialization of the test within a CLIA/CAP laboratory.</w:t>
      </w:r>
    </w:p>
    <w:p>
      <w:pPr>
        <w:spacing w:after="0" w:line="121" w:lineRule="exact"/>
        <w:rPr>
          <w:sz w:val="20"/>
          <w:szCs w:val="20"/>
          <w:color w:val="auto"/>
        </w:rPr>
      </w:pPr>
    </w:p>
    <w:p>
      <w:pPr>
        <w:ind w:right="5200"/>
        <w:spacing w:after="0" w:line="312" w:lineRule="auto"/>
        <w:rPr>
          <w:sz w:val="20"/>
          <w:szCs w:val="20"/>
          <w:color w:val="auto"/>
        </w:rPr>
      </w:pPr>
      <w:r>
        <w:rPr>
          <w:rFonts w:ascii="Times New Roman" w:cs="Times New Roman" w:eastAsia="Times New Roman" w:hAnsi="Times New Roman"/>
          <w:sz w:val="17"/>
          <w:szCs w:val="17"/>
          <w:color w:val="auto"/>
        </w:rPr>
        <w:t>NIH/NINDS SBIR Phase I Grant Number R43NS115212. 09/30/2020 – 03/30/2023 Title: Circulating organ-enriched microRNAs as biomarkers of Rett syndrome.</w:t>
      </w:r>
    </w:p>
    <w:p>
      <w:pPr>
        <w:spacing w:after="0" w:line="140" w:lineRule="exact"/>
        <w:rPr>
          <w:sz w:val="20"/>
          <w:szCs w:val="20"/>
          <w:color w:val="auto"/>
        </w:rPr>
      </w:pPr>
    </w:p>
    <w:p>
      <w:pPr>
        <w:ind w:right="4520"/>
        <w:spacing w:after="0" w:line="276" w:lineRule="auto"/>
        <w:rPr>
          <w:sz w:val="20"/>
          <w:szCs w:val="20"/>
          <w:color w:val="auto"/>
        </w:rPr>
      </w:pPr>
      <w:r>
        <w:rPr>
          <w:rFonts w:ascii="Times New Roman" w:cs="Times New Roman" w:eastAsia="Times New Roman" w:hAnsi="Times New Roman"/>
          <w:sz w:val="17"/>
          <w:szCs w:val="17"/>
          <w:color w:val="auto"/>
        </w:rPr>
        <w:t>NIH/NIA SBIR Phase IIB Grant Number 2R44AG044860-04 03/01/2017 – 08/28/2020 Title: Brain-enriched microRNAs detectable in plasma as biomarkers of Alzheimer’s disease.</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main goal of this Phase IIB study is to establish reliable pre-analytical protocol and analytical workflow for detection of brain-enriched microRNAs in plasma of AD patients and control subjects.</w:t>
      </w:r>
    </w:p>
    <w:p>
      <w:pPr>
        <w:spacing w:after="0" w:line="181" w:lineRule="exact"/>
        <w:rPr>
          <w:sz w:val="20"/>
          <w:szCs w:val="20"/>
          <w:color w:val="auto"/>
        </w:rPr>
      </w:pPr>
    </w:p>
    <w:p>
      <w:pPr>
        <w:ind w:right="4520"/>
        <w:spacing w:after="0" w:line="312" w:lineRule="auto"/>
        <w:rPr>
          <w:sz w:val="20"/>
          <w:szCs w:val="20"/>
          <w:color w:val="auto"/>
        </w:rPr>
      </w:pPr>
      <w:r>
        <w:rPr>
          <w:rFonts w:ascii="Times New Roman" w:cs="Times New Roman" w:eastAsia="Times New Roman" w:hAnsi="Times New Roman"/>
          <w:sz w:val="17"/>
          <w:szCs w:val="17"/>
          <w:color w:val="auto"/>
        </w:rPr>
        <w:t>NIH/NIA, Grant Number 3R44AG044860-06S1 (Admin. Suppl.) 09/01/2019 – 02/28/2020 Title: Brain-enriched microRNAs detectable in plasma as biomarkers of Alzheimer’s disease.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Alzheimer’s Drug Discovery Foundation. Ref #: 201809-2016425 11/11/2019 – 11/10/2020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Circulating brain-enriched microRNAs as peripheral biomarkers of neurodegeneration.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main goal of this project is to assess associations between circulating brain-enriched microRNAs and known AD markers in preclinical AD samples from A4 prevention study.</w:t>
      </w:r>
    </w:p>
    <w:p>
      <w:pPr>
        <w:sectPr>
          <w:pgSz w:w="11900" w:h="16838" w:orient="portrait"/>
          <w:cols w:equalWidth="0" w:num="1">
            <w:col w:w="11240"/>
          </w:cols>
          <w:pgMar w:left="320" w:top="877" w:right="339" w:bottom="1440" w:gutter="0" w:footer="0" w:header="0"/>
        </w:sectPr>
      </w:pPr>
    </w:p>
    <w:p>
      <w:pPr>
        <w:spacing w:after="0" w:line="162"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NIH/NIA SBIR Phase II Grant Number 2R44AG044860-02 02/15/2015 – 01/31/2017 Title: Early detection of Alzheimer’s (MCI stage): Analysis of plasma cell-free miRNA.</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goal of this Phase II study was to provide further validation for the MCI microRNA heterogeneous cohorts and to define microRNA biomarker signatures for predicting AD neurodegenerative diseases.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right"/>
        <w:spacing w:after="0" w:line="282" w:lineRule="auto"/>
        <w:rPr>
          <w:sz w:val="20"/>
          <w:szCs w:val="20"/>
          <w:color w:val="auto"/>
        </w:rPr>
      </w:pPr>
      <w:r>
        <w:rPr>
          <w:rFonts w:ascii="Times New Roman" w:cs="Times New Roman" w:eastAsia="Times New Roman" w:hAnsi="Times New Roman"/>
          <w:sz w:val="18"/>
          <w:szCs w:val="18"/>
          <w:color w:val="auto"/>
        </w:rPr>
        <w:t>signature using plasma samples from well-characterized “progressors” and for differentiating AD from other</w:t>
      </w:r>
    </w:p>
    <w:p>
      <w:pPr>
        <w:spacing w:after="0" w:line="377" w:lineRule="exact"/>
        <w:rPr>
          <w:sz w:val="20"/>
          <w:szCs w:val="20"/>
          <w:color w:val="auto"/>
        </w:rPr>
      </w:pPr>
    </w:p>
    <w:p>
      <w:pPr>
        <w:sectPr>
          <w:pgSz w:w="11900" w:h="16838" w:orient="portrait"/>
          <w:cols w:equalWidth="0" w:num="2">
            <w:col w:w="7000" w:space="0"/>
            <w:col w:w="4240"/>
          </w:cols>
          <w:pgMar w:left="320" w:top="877" w:right="339" w:bottom="1440" w:gutter="0" w:footer="0" w:header="0"/>
          <w:type w:val="continuous"/>
        </w:sectPr>
      </w:pPr>
    </w:p>
    <w:p>
      <w:pPr>
        <w:ind w:right="5120"/>
        <w:spacing w:after="0" w:line="261" w:lineRule="auto"/>
        <w:rPr>
          <w:sz w:val="20"/>
          <w:szCs w:val="20"/>
          <w:color w:val="auto"/>
        </w:rPr>
      </w:pPr>
      <w:r>
        <w:rPr>
          <w:rFonts w:ascii="Times New Roman" w:cs="Times New Roman" w:eastAsia="Times New Roman" w:hAnsi="Times New Roman"/>
          <w:sz w:val="18"/>
          <w:szCs w:val="18"/>
          <w:color w:val="auto"/>
        </w:rPr>
        <w:t>NIH/NIA SBIR Phase I Grant Number 1R43AG053116-01 06/01/2016 – 11/30/2016 Title: Circulating organ-enriched microRNAs as biomarkers of aging</w:t>
      </w:r>
    </w:p>
    <w:p>
      <w:pPr>
        <w:spacing w:after="0" w:line="260" w:lineRule="auto"/>
        <w:rPr>
          <w:sz w:val="20"/>
          <w:szCs w:val="20"/>
          <w:color w:val="auto"/>
        </w:rPr>
      </w:pPr>
      <w:r>
        <w:rPr>
          <w:rFonts w:ascii="Times New Roman" w:cs="Times New Roman" w:eastAsia="Times New Roman" w:hAnsi="Times New Roman"/>
          <w:sz w:val="18"/>
          <w:szCs w:val="18"/>
          <w:color w:val="auto"/>
        </w:rPr>
        <w:t>The goal of this study was to analyze brain-enriched microRNA signatures detectable in plasma in the context of normal aging; the study was conducted in collaboration with the New York Blood Center.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Rett Syndrome Research Trust (2014 and 2015 awards) 12/01/2014 – 04/30/2016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Analysis of circulating brain-enriched microRNAs as biomarkers for Rett Syndrome.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goal of this study was to assess brain-enriched microRNA biomarkers in plasma samples of Mecp2 deficient male and female mice and controls.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NIH/NIA SBIR Phase I Grant Number 1R43AG044860-01 07/01/2013 – 12/31/2013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Early detection of Alzheimer’s disease at MCI stage by analysis of cell-free miRNA in plasma.</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goal of this study was to assess feasibility of detecting MCI patients who would progress to AD dementia and to identify microRNA biomarker candidates for differentiating Alzheimer’s disease from Parkinson’s disease.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Michael J. Fox Foundation for Parkinson’s Research Grant Number 9477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Analysis of circulating brain-enriched microRNAs as biomarkers for Parkinson’s disease.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goal of this study was to test microRNA biomarker candidates using plasma samples collected from Parkinson’s disease patients and age-matched controls from the BioFIND clinical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IRS-QTDP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Development of ADmiR, molecular test for early detection and monitoring of Alzheimer’s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studies towards identification of microRNA biomarker candidates for Alzheimer’s Disease.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Pathway and Timeline</w:t>
      </w:r>
    </w:p>
    <w:p>
      <w:pPr>
        <w:spacing w:after="0" w:line="135" w:lineRule="exact"/>
        <w:rPr>
          <w:sz w:val="20"/>
          <w:szCs w:val="20"/>
          <w:color w:val="auto"/>
        </w:rPr>
      </w:pPr>
    </w:p>
    <w:p>
      <w:pPr>
        <w:jc w:val="both"/>
        <w:ind w:left="660" w:hanging="652"/>
        <w:spacing w:after="0" w:line="259" w:lineRule="auto"/>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Research Biomarker Panel and Pharma Services Testing Services: </w:t>
      </w:r>
      <w:r>
        <w:rPr>
          <w:rFonts w:ascii="Times New Roman" w:cs="Times New Roman" w:eastAsia="Times New Roman" w:hAnsi="Times New Roman"/>
          <w:sz w:val="18"/>
          <w:szCs w:val="18"/>
          <w:color w:val="auto"/>
        </w:rPr>
        <w:t>In 2026, DiamiR is planning on expanding its capabilities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services are offered on a fee-for-service basis and may support drug development, biomarker discovery, and companion diagnostic research programs. DiamiR is actively seeking customers/partners to expand this aspect of its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 may also offer protein biomarker testing services using research use only (RUO) reagents sourced from commercial suppliers.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fiscal 2025, DiamiR was contracted by a biotechnology customer to test approximately 200 samples for 11 protein targets, using research use only (RUO) reagents available from commercial suppliers under a fee-for-service agreement, under a confidentiality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spacing w:after="0" w:line="158"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CogniMIR — Regulatory Strategy and Commercialization Pathway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spacing w:after="0" w:line="172"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w:t>
      </w:r>
    </w:p>
    <w:p>
      <w:pPr>
        <w:spacing w:after="0" w:line="172"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Commercialization Pathway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Stage 1 — Analytically Validating the Panel: </w:t>
      </w:r>
      <w:r>
        <w:rPr>
          <w:rFonts w:ascii="Times New Roman" w:cs="Times New Roman" w:eastAsia="Times New Roman" w:hAnsi="Times New Roman"/>
          <w:sz w:val="18"/>
          <w:szCs w:val="18"/>
          <w:color w:val="auto"/>
        </w:rPr>
        <w:t>The current version of CogniMIR has completed analytical validation, establishing its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characteristics, including accuracy, precision, and reproducibility for the panel. The results of this study were published in a peer-reviewed journal in 2023 (Diagnostics. 2023 Jun 26;13(13):2170.doi: 10.3390/diagnostics13132170).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1" w:name="page202"/>
    <w:bookmarkEnd w:id="20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Stage 2 — Establish Clinical Validation as an LDT: </w:t>
      </w:r>
      <w:r>
        <w:rPr>
          <w:rFonts w:ascii="Times New Roman" w:cs="Times New Roman" w:eastAsia="Times New Roman" w:hAnsi="Times New Roman"/>
          <w:sz w:val="18"/>
          <w:szCs w:val="18"/>
          <w:color w:val="auto"/>
        </w:rPr>
        <w:t>DiamiR is also pursuing clinical validation of CogniMIR, scheduled to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Stage 3 — Establishing Clinical Utility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Times New Roman" w:cs="Times New Roman" w:eastAsia="Times New Roman" w:hAnsi="Times New Roman"/>
          <w:sz w:val="18"/>
          <w:szCs w:val="18"/>
          <w:b w:val="1"/>
          <w:bCs w:val="1"/>
          <w:color w:val="auto"/>
        </w:rPr>
        <w:t>Jack CR Jr, Andrews JS, Beach TG, et al.</w:t>
      </w:r>
      <w:r>
        <w:rPr>
          <w:rFonts w:ascii="Times New Roman" w:cs="Times New Roman" w:eastAsia="Times New Roman" w:hAnsi="Times New Roman"/>
          <w:sz w:val="18"/>
          <w:szCs w:val="18"/>
          <w:color w:val="auto"/>
        </w:rPr>
        <w:t xml:space="preserve"> Revised criteria for diagnosis and staging of Alzheimer’s disease: Alzheimer’s Association Workgroup. </w:t>
      </w:r>
      <w:r>
        <w:rPr>
          <w:rFonts w:ascii="Times New Roman" w:cs="Times New Roman" w:eastAsia="Times New Roman" w:hAnsi="Times New Roman"/>
          <w:sz w:val="18"/>
          <w:szCs w:val="18"/>
          <w:b w:val="1"/>
          <w:bCs w:val="1"/>
          <w:i w:val="1"/>
          <w:iCs w:val="1"/>
          <w:color w:val="auto"/>
        </w:rPr>
        <w:t>Alzheimer’s &amp; Dementia.</w:t>
      </w:r>
      <w:r>
        <w:rPr>
          <w:rFonts w:ascii="Times New Roman" w:cs="Times New Roman" w:eastAsia="Times New Roman" w:hAnsi="Times New Roman"/>
          <w:sz w:val="18"/>
          <w:szCs w:val="18"/>
          <w:color w:val="auto"/>
        </w:rPr>
        <w:t xml:space="preserve"> 2024;20(9):5143-5169. doi:10.1002/alz.13859).</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updated criteria represent a fundamental, positive shift in the diagnostic paradigm and provide clinical recognition for the role of biomarker testing in Alzheimer’s diagnosis and staging.</w:t>
      </w:r>
    </w:p>
    <w:p>
      <w:pPr>
        <w:spacing w:after="0" w:line="16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Establishing CogniMIR’s clinical utility will require studies that show how the test enables physicians to:</w:t>
      </w:r>
    </w:p>
    <w:p>
      <w:pPr>
        <w:spacing w:after="0" w:line="225" w:lineRule="exact"/>
        <w:rPr>
          <w:sz w:val="20"/>
          <w:szCs w:val="20"/>
          <w:color w:val="auto"/>
        </w:rPr>
      </w:pPr>
    </w:p>
    <w:p>
      <w:pPr>
        <w:ind w:left="9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or rule out Alzheimer’s pathology in patients with cognitive symptoms, allowing for earlier initiation of disease-modifying therapies where appropriate; and/or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Alzheimer’s disease from other causes of cognitive impairment, reducing diagnostic uncertainty and enabling more targeted treatment planning; and/or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unnecessary or invasive diagnostic procedures, such as lumbar puncture for CSF analysis or expensive amyloid PET imaging, in cases where CogniMIR provides sufficient diagnostic clarity; and/or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eligibility determination for FDA-approved anti-amyloid immunotherapies, which require confirmation of amyloid pathology before treatment initiation;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care planning and patient counseling by providing patients and families with earlier, more definitive diagnostic information.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DiamiR cannot assure that it will meet its enrollment targets within the planned timeline or budget, or at all; nor can DiamiR guarantee that its studies will show effective clinical utility for CogniMIR.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Research &amp; Development Strategy</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DiamiR intends to conduct clinical development and launch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Laboratory Developed Test (LDT) using its CLIA-certified, CAP accredited laboratory based in New Haven CT.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spacing w:after="0" w:line="19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While DiamiR’s plan is to validate the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miRNA panel in its lab, DiamiR is also studying the feasibility of offering protein biomarker testing, including but not limited to, pTau-181, pTau-217, Neurofilament Light (NfL), Aβ42/40 and TDP43 in it lab. There are a number of platform technologies (ELISA, Mass Spec, PCR) from various vendors that could be implemented in DiamiR’s lab. In 2023, DiamiR completed the analytical and clinical validation of its APOE Genotyping assay under CLIA guidelines. APOE4 is a known genetic risk factor for AD (</w:t>
      </w:r>
      <w:r>
        <w:rPr>
          <w:rFonts w:ascii="Times New Roman" w:cs="Times New Roman" w:eastAsia="Times New Roman" w:hAnsi="Times New Roman"/>
          <w:sz w:val="18"/>
          <w:szCs w:val="18"/>
          <w:i w:val="1"/>
          <w:iCs w:val="1"/>
          <w:color w:val="auto"/>
        </w:rPr>
        <w:t>https://www.nia.nih.gov/health/genetics-and-family-history/alzheimers-disease-genetics-fact-sheet</w:t>
      </w:r>
      <w:r>
        <w:rPr>
          <w:rFonts w:ascii="Times New Roman" w:cs="Times New Roman" w:eastAsia="Times New Roman" w:hAnsi="Times New Roman"/>
          <w:sz w:val="18"/>
          <w:szCs w:val="18"/>
          <w:color w:val="auto"/>
        </w:rPr>
        <w:t>). As part of DiamiR’s bi-annual CLIA lab inspection, the supporting data for its APOE test were reviewed in June 2024 and passed all requirements for its CLIA license. DiamiR’s CLIA license is valid until June 2028. On August 12, 2025, NY State CLEP program approved DiamiR’s APOE test, allowing this test to be offered to patients in New York state (“NY”), if and when the Company decides to do so; our lab passed their April 28, 2026 inspection and we await a new license.</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APOE </w:t>
      </w:r>
      <w:r>
        <w:rPr>
          <w:rFonts w:ascii="Times New Roman" w:cs="Times New Roman" w:eastAsia="Times New Roman" w:hAnsi="Times New Roman"/>
          <w:sz w:val="18"/>
          <w:szCs w:val="18"/>
          <w:color w:val="auto"/>
        </w:rPr>
        <w:t>Genotyping test was validated and carried out at DiamiR’s lab by using the TaqMan assays for two SNP locations on the</w:t>
      </w:r>
      <w:r>
        <w:rPr>
          <w:rFonts w:ascii="Times New Roman" w:cs="Times New Roman" w:eastAsia="Times New Roman" w:hAnsi="Times New Roman"/>
          <w:sz w:val="18"/>
          <w:szCs w:val="18"/>
          <w:i w:val="1"/>
          <w:iCs w:val="1"/>
          <w:color w:val="auto"/>
        </w:rPr>
        <w:t xml:space="preserve"> APOE </w:t>
      </w:r>
      <w:r>
        <w:rPr>
          <w:rFonts w:ascii="Times New Roman" w:cs="Times New Roman" w:eastAsia="Times New Roman" w:hAnsi="Times New Roman"/>
          <w:sz w:val="18"/>
          <w:szCs w:val="18"/>
          <w:color w:val="auto"/>
        </w:rPr>
        <w:t>gene,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detect the presence of either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alleles (E2/E2, E2/E3, E2/E4, E3/E3, E3/E4 and E4/E4) in the samples. A total of 10 pre-identified samples were utilized in this validation study to determine precision, lower limit of detection (LOD), and accuracy analysis of the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Genotyping test. Evaluation of precision was done by assessing the repeatability (within-run), and reproducibility (multiple runs within the lab) of the generated results. Two different results (raw Ct data and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Genotype calls) were analyzed for the test validation. Both results were found to be reproducible, repeatable, and accurate in all the experimental settings, which demonstrated that the DiamiR lab developed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Genotyping test is accurate in detecting APOE genotypes of a patient. This was further confirmed by a 100% accuracy measurement of the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Genotyping test carried out in the lab. Furthermore, DiamiR’s </w:t>
      </w:r>
      <w:r>
        <w:rPr>
          <w:rFonts w:ascii="Times New Roman" w:cs="Times New Roman" w:eastAsia="Times New Roman" w:hAnsi="Times New Roman"/>
          <w:sz w:val="18"/>
          <w:szCs w:val="18"/>
          <w:i w:val="1"/>
          <w:iCs w:val="1"/>
          <w:color w:val="auto"/>
        </w:rPr>
        <w:t xml:space="preserve">APOE </w:t>
      </w:r>
      <w:r>
        <w:rPr>
          <w:rFonts w:ascii="Times New Roman" w:cs="Times New Roman" w:eastAsia="Times New Roman" w:hAnsi="Times New Roman"/>
          <w:sz w:val="18"/>
          <w:szCs w:val="18"/>
          <w:color w:val="auto"/>
        </w:rPr>
        <w:t>Genotyping test is highly robust as reproducible and accurate</w:t>
      </w:r>
      <w:r>
        <w:rPr>
          <w:rFonts w:ascii="Times New Roman" w:cs="Times New Roman" w:eastAsia="Times New Roman" w:hAnsi="Times New Roman"/>
          <w:sz w:val="18"/>
          <w:szCs w:val="18"/>
          <w:i w:val="1"/>
          <w:iCs w:val="1"/>
          <w:color w:val="auto"/>
        </w:rPr>
        <w:t xml:space="preserve"> APOE </w:t>
      </w:r>
      <w:r>
        <w:rPr>
          <w:rFonts w:ascii="Times New Roman" w:cs="Times New Roman" w:eastAsia="Times New Roman" w:hAnsi="Times New Roman"/>
          <w:sz w:val="18"/>
          <w:szCs w:val="18"/>
          <w:color w:val="auto"/>
        </w:rPr>
        <w:t>genotypes were obtained successfully in wide range of DNA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(0.7ng-50ng). Based on the robustness, moving forward the lab could set a criterion for minimal gDNA requirement to be 0.7ng or 1ng for testing clinical samples. Based on these data, </w:t>
      </w:r>
      <w:r>
        <w:rPr>
          <w:rFonts w:ascii="Times New Roman" w:cs="Times New Roman" w:eastAsia="Times New Roman" w:hAnsi="Times New Roman"/>
          <w:sz w:val="18"/>
          <w:szCs w:val="18"/>
          <w:i w:val="1"/>
          <w:iCs w:val="1"/>
          <w:color w:val="auto"/>
        </w:rPr>
        <w:t>APOE</w:t>
      </w:r>
      <w:r>
        <w:rPr>
          <w:rFonts w:ascii="Times New Roman" w:cs="Times New Roman" w:eastAsia="Times New Roman" w:hAnsi="Times New Roman"/>
          <w:sz w:val="18"/>
          <w:szCs w:val="18"/>
          <w:color w:val="auto"/>
        </w:rPr>
        <w:t xml:space="preserve"> Genotyping test is ready to be used in DiamiR lab for commercial purposes.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recent paper published in Nature Medicine titled “</w:t>
      </w:r>
      <w:r>
        <w:rPr>
          <w:rFonts w:ascii="Times New Roman" w:cs="Times New Roman" w:eastAsia="Times New Roman" w:hAnsi="Times New Roman"/>
          <w:sz w:val="18"/>
          <w:szCs w:val="18"/>
          <w:i w:val="1"/>
          <w:iCs w:val="1"/>
          <w:color w:val="auto"/>
        </w:rPr>
        <w:t>APOE4 homozygosity represents a distinct genetic form of Alzheimer’s disease</w:t>
      </w:r>
      <w:r>
        <w:rPr>
          <w:rFonts w:ascii="Times New Roman" w:cs="Times New Roman" w:eastAsia="Times New Roman" w:hAnsi="Times New Roman"/>
          <w:sz w:val="18"/>
          <w:szCs w:val="18"/>
          <w:color w:val="auto"/>
        </w:rPr>
        <w:t xml:space="preserve">” (Nature Medicine, 2024, </w:t>
      </w:r>
      <w:r>
        <w:rPr>
          <w:rFonts w:ascii="Times New Roman" w:cs="Times New Roman" w:eastAsia="Times New Roman" w:hAnsi="Times New Roman"/>
          <w:sz w:val="18"/>
          <w:szCs w:val="18"/>
          <w:i w:val="1"/>
          <w:iCs w:val="1"/>
          <w:color w:val="auto"/>
        </w:rPr>
        <w:t>https://doi.org/10.1038/s41591-024-02931-w</w:t>
      </w:r>
      <w:r>
        <w:rPr>
          <w:rFonts w:ascii="Times New Roman" w:cs="Times New Roman" w:eastAsia="Times New Roman" w:hAnsi="Times New Roman"/>
          <w:sz w:val="18"/>
          <w:szCs w:val="18"/>
          <w:color w:val="auto"/>
        </w:rPr>
        <w:t>) demonstrated that APOE4 homozygotes, i.e. people who 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spacing w:after="0" w:line="18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For pharma services contract work, DiamiR may use a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Laboratory Information Management Systems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Research Collaborators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organizations have provided, and may continue to provide, DiamiR with plasma samples, and accompanying clinical data as available, including disease status, patient demographics, neuroimaging data, CSF biomarkers analysis, cognitive assessment parameters, and accompanying diseases outcomes. DiamiR works, and will continue to work, closely with the researchers and physicians at the centers to ensure that the available clinical data is properly interpreted.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total, DiamiR has seven families of issued patents.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contains the patent listing and country of issue for all of DiamiR’s 52 issued patents. DiamiR has an obligation to pay annual fees to keep these patents active in the different territories that have issued the patents.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Current DiamiR Patents Issued or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43500" cy="28803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a general description of DiamiR’s patent portfolio and is not intended to represent an assessment of claim limitations or claim scope. Included in the portfolio are seven (7) patent families.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 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 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5" w:name="page206"/>
    <w:bookmarkEnd w:id="20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spacing w:after="0" w:line="17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DiamiR also plans on seeking trademark protection for commercially valuable products it develops. At the date of this prospectus U.S. Federal trademark registrations for the marks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DiamiR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have been issued by the USPTO.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Market Size and Competition</w:t>
      </w:r>
    </w:p>
    <w:p>
      <w:pPr>
        <w:spacing w:after="0" w:line="229"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18"/>
          <w:szCs w:val="18"/>
          <w:b w:val="1"/>
          <w:bCs w:val="1"/>
          <w:color w:val="auto"/>
        </w:rPr>
        <w:t>US market opportunity for CogniMIR</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in selection of early-stage patients for clinical trials </w:t>
      </w:r>
      <w:r>
        <w:rPr>
          <w:rFonts w:ascii="Times New Roman" w:cs="Times New Roman" w:eastAsia="Times New Roman" w:hAnsi="Times New Roman"/>
          <w:sz w:val="18"/>
          <w:szCs w:val="18"/>
          <w:color w:val="auto"/>
        </w:rPr>
        <w:t>— the following key market statistics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for assessment of the overall size of this opportunity are compiled by the Alzheimer’s Association (alz.org):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137160</wp:posOffset>
            </wp:positionV>
            <wp:extent cx="5143500" cy="35401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of Americans age 65 and older is projected to grow from 58 million in 2021 to 88 million by 2050.</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people with Alzheimer’s dementia increases with age: from 5.1% of people age 65 to 74 up to 33.4% of people age 85 and older have Alzheimer’s dementia.</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Almost 2/3 of American with AD are women. Of the 6.7 million people age 65 and older with Alzheimer’s dementia in the United States, 4.1 million are women and 2.6 million are men. This represents 12% of women and 9% of men age 65 and older in the United States.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2025, the number of people age 65 and older with Alzheimer’s dementia is projected to reach 7.2 million — an 11% increase from the 6.7 million age 65 and older affected in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568960</wp:posOffset>
            </wp:positionV>
            <wp:extent cx="2794635" cy="21170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27946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in the table above only reflect information pertaining to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2060, the number of people age 65 and older with Alzheimer’s dementia is projected to reach 13.8 million, barring the development of medical breakthroughs to prevent, slow or cure Alzheimer’s disease.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clinical trials on MCI/AD are currently ongoing in the US; average number of patients: 220 per trial (source: clinicaltrials.gov);</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patients screened per trial is at least the number of patients enrolled and frequently two to five times greater.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Broad screening of population in high-risk groups </w:t>
      </w:r>
      <w:r>
        <w:rPr>
          <w:rFonts w:ascii="Times New Roman" w:cs="Times New Roman" w:eastAsia="Times New Roman" w:hAnsi="Times New Roman"/>
          <w:sz w:val="18"/>
          <w:szCs w:val="18"/>
          <w:color w:val="auto"/>
        </w:rPr>
        <w:t>(e.g. for AD registries) presents a separate business opportunity for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Studies from Harvard and Tufts Medical Center establish a high level of interest in early detection of AD and report that 66%–70% of respondents would like to be screened for AD even if no treatment is available [Harvard study: </w:t>
      </w:r>
      <w:r>
        <w:rPr>
          <w:rFonts w:ascii="Times New Roman" w:cs="Times New Roman" w:eastAsia="Times New Roman" w:hAnsi="Times New Roman"/>
          <w:sz w:val="18"/>
          <w:szCs w:val="18"/>
          <w:i w:val="1"/>
          <w:iCs w:val="1"/>
          <w:color w:val="auto"/>
        </w:rPr>
        <w:t>Alzheimer’s Research &amp; Therapy</w:t>
      </w:r>
      <w:r>
        <w:rPr>
          <w:rFonts w:ascii="Times New Roman" w:cs="Times New Roman" w:eastAsia="Times New Roman" w:hAnsi="Times New Roman"/>
          <w:sz w:val="18"/>
          <w:szCs w:val="18"/>
          <w:color w:val="auto"/>
        </w:rPr>
        <w:t xml:space="preserve"> 2013,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:43; telephone survey of 2,678 respondents from the US, France, Germany, Poland, Spain; Tufts study: </w:t>
      </w:r>
      <w:r>
        <w:rPr>
          <w:rFonts w:ascii="Times New Roman" w:cs="Times New Roman" w:eastAsia="Times New Roman" w:hAnsi="Times New Roman"/>
          <w:sz w:val="18"/>
          <w:szCs w:val="18"/>
          <w:i w:val="1"/>
          <w:iCs w:val="1"/>
          <w:color w:val="auto"/>
        </w:rPr>
        <w:t>Health Econ</w:t>
      </w:r>
      <w:r>
        <w:rPr>
          <w:rFonts w:ascii="Times New Roman" w:cs="Times New Roman" w:eastAsia="Times New Roman" w:hAnsi="Times New Roman"/>
          <w:sz w:val="18"/>
          <w:szCs w:val="18"/>
          <w:color w:val="auto"/>
        </w:rPr>
        <w:t xml:space="preserve"> 2012,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:238; internet survey of 1,463 US respondents]. The Special Report titled “American Perspectives on Early Detection of Alzheimer’s Disease 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Times New Roman" w:cs="Times New Roman" w:eastAsia="Times New Roman" w:hAnsi="Times New Roman"/>
          <w:sz w:val="18"/>
          <w:szCs w:val="18"/>
          <w:i w:val="1"/>
          <w:iCs w:val="1"/>
          <w:color w:val="auto"/>
        </w:rPr>
        <w:t>https://www.alz.org/getmedia/3d226bf2-0690-48d0-98ac-d790384f4ec2/alzheimers-facts-and-figures-special-report.pdf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The survey also highlighted reasons for seeking an early stage AD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43500" cy="28543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focus</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Since DiamiR’s 24-microRNA panel for risk assessment of Alzheimer’s disease,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spacing w:after="0" w:line="200" w:lineRule="exact"/>
        <w:rPr>
          <w:sz w:val="20"/>
          <w:szCs w:val="20"/>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Reportable range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intervals/range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w:t>
      </w:r>
    </w:p>
    <w:p>
      <w:pPr>
        <w:jc w:val="both"/>
        <w:spacing w:after="0" w:line="209" w:lineRule="auto"/>
        <w:rPr>
          <w:sz w:val="20"/>
          <w:szCs w:val="20"/>
          <w:color w:val="auto"/>
        </w:rPr>
      </w:pPr>
      <w:r>
        <w:rPr>
          <w:rFonts w:ascii="Times New Roman" w:cs="Times New Roman" w:eastAsia="Times New Roman" w:hAnsi="Times New Roman"/>
          <w:sz w:val="18"/>
          <w:szCs w:val="18"/>
          <w:color w:val="auto"/>
        </w:rPr>
        <w:t>FDA guidelines. Should the FDA guidelines change in the future and require FDA approval of DiamiR’s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test, it will increase the time, costs, resources and risk of the test launch.</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 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According to clinicaltrials.gov, there are more than 250 MCI trials in Phase 1 and Phase 2, and more than 400+ PD trials currently 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Analyses of recent trials indicate the need for a cost-efficient blood-based screening tool.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2023, 62 phase I and early phase I studies are listed as currently recruiting or are active on clinicaltrials.gov. An additional 94 trials are recruiting in phase 2. Although there is no guarantee, DiamiR believes that penetrating this market could result in near term revenues (within the next 12 months) for DiamiR and provide a significant growth opportunity for DiamiR.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DiamiR’s plan for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parallel, DiamiR plans on launching the clinical version of its test, and plan for a validation study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commence in 2H 2025.</w:t>
      </w:r>
    </w:p>
    <w:p>
      <w:pPr>
        <w:jc w:val="both"/>
        <w:spacing w:after="0" w:line="220" w:lineRule="auto"/>
        <w:rPr>
          <w:sz w:val="20"/>
          <w:szCs w:val="20"/>
          <w:color w:val="auto"/>
        </w:rPr>
      </w:pPr>
      <w:r>
        <w:rPr>
          <w:rFonts w:ascii="Times New Roman" w:cs="Times New Roman" w:eastAsia="Times New Roman" w:hAnsi="Times New Roman"/>
          <w:sz w:val="18"/>
          <w:szCs w:val="18"/>
          <w:color w:val="auto"/>
        </w:rPr>
        <w:t>This study will be designed to measure the test’s performance criteria including its Sensitivity, Specificity, and Negative and Positive Predictive Values. DiamiR’s ultimate goal is to make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 risk assessment tool that incorporates miRNAs, blood protein biomarkers and demographic datapoints to generate a risk score that allows physicians and patients make treatment decisions based on each patient’s unique biomarker profile.</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types of biomarkers, which are currently used and are being developed within the industry for the detection of MCI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142875</wp:posOffset>
            </wp:positionV>
            <wp:extent cx="3488690" cy="21602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8869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0" w:name="page211"/>
    <w:bookmarkEnd w:id="210"/>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Based on the information available at the time of this prospectus, a number of companies are currently developing molecular assays for early detection of AD, including but not limited to: Fujirebio, Quanterix, C</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N Diagnostics, ALZPath, Alamar Biosciences, Cognoptix, Eli Lilly, LabCorp, NanoSomiX, NeuroTrack, Esya Labs, Brain Spec, Cogni.Dx, Roche, and Quest Labs. A number of academic groups are also pursuing identification of AD biomarkers.</w:t>
      </w:r>
    </w:p>
    <w:p>
      <w:pPr>
        <w:spacing w:after="0" w:line="19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Quanterix (via its subsidiary Lucent Diagnostics), C2N Diagnostics, and Quest Labs have launched commercial LDTs for AD based on select protein biomarkers (Ab42/40, p-Tau217, and p-Tau181). In May 2025, the FDA granted 510(k) clearance for Fujirebio’s Lumipulse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 pTau 217/β-Amyloid 1-42 Plasma Ratio in-vitro diagnostic (IVD) test for the assessment of amyloid pathology in patients presenting with signs and symptoms of cognitive decline being evaluated for Alzheimer’s disease and other causes of cognitive decline.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DiamiR is not aware of any companies offering commercial miRNA-based tests for brain health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DiamiR’s 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advantages of DiamiR’s technology include the following:</w:t>
      </w:r>
    </w:p>
    <w:p>
      <w:pPr>
        <w:spacing w:after="0" w:line="225"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novel proprietary approach allows detecting molecular signatures of brain health in blood;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biopsy, blood-based, tests are minimally invasive, are potentially less expensive than current tests that rely on neuroimaging technologies and analysis of biomarkers in cerebrospinal fluid, and are therefore suitable for primary screening;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proof-of-concept data generated to date indicates DiamiR’s approach may allow detecting and differentiating pathologies with high degree of accuracy;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technology is complementary, and potentially synergistic, to other diagnostic platforms, such as imaging and/or blood protein biomarkers.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DiamiR’s tests are currently not commercially available. If the tests are successfully developed and launched, DiamiR believes that it will compete primarily on the basis of:</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ability to identify MCI, and predict whether a patient is likely to progress to AD or other 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ability to monitor disease progression and response to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of DiamiR’s tests: they are minimally invasive, based on analysis of plasma;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cost advantage of DiamiR’s tests compared to imaging and analysis of cerebrospinal fluid biomarkers;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DiamiR’s collaborations with high profile academic clinical centers;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to customers (e.g. asymptomatic subjects in high-risk groups) promoting repeat testing (e.g. annual screening).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DiamiR believes that its success will depend on its ability to expeditiously:</w:t>
      </w:r>
    </w:p>
    <w:p>
      <w:pPr>
        <w:spacing w:after="0" w:line="225"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the tests in the US and expand in countries outside of the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maintain scientifically advanced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sell DiamiR’s tests, initially as a clinical research tool for pre-selection of patients for AD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DiamiR’s tests to provide information on other 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DiamiR’s sample collection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 clinical studies in peer-reviewed journals;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validate DiamiR’s tests, especially with respect to treatment benefit;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DiamiR’s products and technology with patents;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quality of DiamiR’s LDTs produced under FDA and CLIA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the CLIA lab where tests are produced continue to maintain all appropriate licenses;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necessary regulatory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reimbursement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groups that DiamiR expects to pay for its molecular testing services include:</w:t>
      </w:r>
    </w:p>
    <w:p>
      <w:pPr>
        <w:spacing w:after="0" w:line="252" w:lineRule="exact"/>
        <w:rPr>
          <w:sz w:val="20"/>
          <w:szCs w:val="20"/>
          <w:color w:val="auto"/>
        </w:rPr>
      </w:pPr>
    </w:p>
    <w:p>
      <w:pPr>
        <w:ind w:left="1060" w:hanging="350"/>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companies conducting clinical trials;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centers, including memory, brain health and geriatric centers that will pay negotiated rates for their clinicians’ test orders;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third-party payors, based on existing or novel Current Procedural Terminology (CPT) and/or PLA codes;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private payors, with whom DiamiR plans to initiate a dialog and to submit relevant applications as soon as feasible; and</w:t>
      </w:r>
    </w:p>
    <w:p>
      <w:pPr>
        <w:spacing w:after="0" w:line="279" w:lineRule="exact"/>
        <w:rPr>
          <w:rFonts w:ascii="Times New Roman" w:cs="Times New Roman" w:eastAsia="Times New Roman" w:hAnsi="Times New Roman"/>
          <w:sz w:val="18"/>
          <w:szCs w:val="18"/>
          <w:color w:val="auto"/>
        </w:rPr>
      </w:pPr>
    </w:p>
    <w:p>
      <w:pPr>
        <w:ind w:left="1060" w:hanging="350"/>
        <w:spacing w:after="0" w:line="282"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at-risk individuals who pay co-payments, deductibles and other amounts that DiamiR is unable to collect from their health insurers.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12" w:name="page213"/>
    <w:bookmarkEnd w:id="2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spacing w:after="0" w:line="203" w:lineRule="exact"/>
        <w:rPr>
          <w:sz w:val="20"/>
          <w:szCs w:val="20"/>
          <w:color w:val="auto"/>
        </w:rPr>
      </w:pPr>
    </w:p>
    <w:p>
      <w:pPr>
        <w:ind w:left="1060" w:hanging="350"/>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Validation — The assay correctly and reproducibly tests for specific analytes/targets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Validation — The assay’s target analytes rule-in or rule-out a disease</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utility — The test results in changes with physician behavior or patient treatment</w:t>
      </w:r>
    </w:p>
    <w:p>
      <w:pPr>
        <w:spacing w:after="0" w:line="279"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and economic health benefits — The test saves the healthcare system money, either by reducing unnecessary treatment, improving outcomes or other measures.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robust clinical dossier is a critical tool for successful reimbursement discussions with payors. DiamiR’s management team has experience with, and understands the process, and will focus its efforts to gain insurance coverage in a timely manner.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Accurate early diagnostics of AD will improve effectiveness of future cost of care for AD. The current cost of care for AD and AD related issues is estimated to be around $345B annually and is expected to reach $1Trillion by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114300</wp:posOffset>
            </wp:positionV>
            <wp:extent cx="2888615" cy="2211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8861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hanging="345"/>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https://www.alz.org/media/Documents/alzheimers-facts-and-figures.pdf</w:t>
      </w:r>
    </w:p>
    <w:p>
      <w:pPr>
        <w:spacing w:after="0" w:line="254"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Strategies and products designed for early identification of AD are key to reducing the financial burden of AD to payors, caregivers, and families of those impacted by this disease. Thus, the use of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DiamiR’s other future tests align with payors’ goals to improve the affordability and efficacy of diagnosis and treatment for AD.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supportive publications on cost effectiveness of early intervention include: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“Evaluation of the Cost-effectiveness of Drug Treatment for Alzheimer Disease in a Simulation Model That Includes Caregiver and Societal Factors.” Ito et. al. JAMA Netw Open. 2021 Oct; 4(10): e2129392. Published online 2021 Oct.22. doi: 10.1001/jamanetworkopen.2021.29392PMCID: PMC8536950. PMID: 34677596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Times New Roman" w:cs="Times New Roman" w:eastAsia="Times New Roman" w:hAnsi="Times New Roman"/>
          <w:sz w:val="18"/>
          <w:szCs w:val="18"/>
          <w:i w:val="1"/>
          <w:iCs w:val="1"/>
          <w:color w:val="auto"/>
        </w:rPr>
        <w:t>https://doi.org/10.1016/j.clinthera.2022.09.008</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https://cevr.tuftsmedicalcenter.org/publications/valuing-alzheimer-disease-therapies-considering-costs-and-benefits-beyond-the-patient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“Early intervention in Alzheimer’s disease: a health economic study of the effects of diagnostic timing” Barnett et al. BMC Neurology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Improvement Amendments of 1988 and State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as a diagnostic service provider, DiamiR is required to hold certain federal and state licenses, certifications and permits to conduct its business. As to federal certifications, in 1988, Congress passed the Clinical Laboratory Improvement 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 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State Laboratory Testing </w:t>
      </w:r>
      <w:r>
        <w:rPr>
          <w:rFonts w:ascii="Times New Roman" w:cs="Times New Roman" w:eastAsia="Times New Roman" w:hAnsi="Times New Roman"/>
          <w:sz w:val="18"/>
          <w:szCs w:val="18"/>
          <w:color w:val="auto"/>
        </w:rPr>
        <w:t>— Several states require the licensure of out-of-state laboratories that accept specimens from those states. For example,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spacing w:after="0" w:line="18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DiamiR cannot assure that CogniMIR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its future products will not require in the future FDA approvals outside of current guidelines for LDTs, or, in such an event, that such approval or clearance would be forthcoming.</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plans on launching its products under Lab Developed Test (LDT) path to market under CLIA in accordance with the current FDA guidelines.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4" w:name="page215"/>
    <w:bookmarkEnd w:id="2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6, 2024, the FDA published the final rule on the regulation of LDTs (the “</w:t>
      </w:r>
      <w:r>
        <w:rPr>
          <w:rFonts w:ascii="Times New Roman" w:cs="Times New Roman" w:eastAsia="Times New Roman" w:hAnsi="Times New Roman"/>
          <w:sz w:val="18"/>
          <w:szCs w:val="18"/>
          <w:u w:val="single" w:color="auto"/>
          <w:color w:val="auto"/>
        </w:rPr>
        <w:t>New Rule</w:t>
      </w:r>
      <w:r>
        <w:rPr>
          <w:rFonts w:ascii="Times New Roman" w:cs="Times New Roman" w:eastAsia="Times New Roman" w:hAnsi="Times New Roman"/>
          <w:sz w:val="18"/>
          <w:szCs w:val="18"/>
          <w:color w:val="auto"/>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HIPAA and HITECH</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laws contain significant fines and other penalties for wrongful use or disclosure of protected health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Foreign Fraud and Abuse Laws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United States, there are various fraud and abuse laws with which DiamiR must comply and DiamiR is potentially subject to regulation by various federal, state and local authorities. DiamiR also may be subject to foreign fraud and abuse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5" w:name="page216"/>
    <w:bookmarkEnd w:id="2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 participation in federal health care programs. Many states also have anti-kickback statutes, some of which may apply to items or services reimbursed by any third-party payor, including commercial insurers.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Europe various countries have adopted anti-bribery laws providing for severe consequences, in the form of criminal penalties and/or significant fines, for individuals and/or companies committing a bribery offence. Violations of these anti-bribery laws, or allegations of such violations, could have a negative impact on DiamiR’s business, results of operations and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DiamiR acquired a CLIA certified, CAP accredited laboratory space in New Haven CT in April 2021. DiamiR operates this lab with DiamiR employees and pays a monthly fee of $3,565 for its rent.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COMPANY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2024, Mr. Martin Siu resigned from his position as Head of Finance of Aptorum Group due to personal reason. Mr. K.K. Wong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Wong”) has replaced Mr. Siu as the Company’s Head of Finance since August 2024.</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Huen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Founder, Chief Executive Officer and Executive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 Wong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Head of Finance</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Non-Management Directors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Wu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 and Chair of Compensation Committee</w:t>
            </w: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Arner</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55</w:t>
            </w:r>
          </w:p>
        </w:tc>
        <w:tc>
          <w:tcPr>
            <w:tcW w:w="68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Independent Non-Executive Director and Chair of Nominating and Corporate Governance</w:t>
            </w:r>
          </w:p>
        </w:tc>
      </w:tr>
      <w:tr>
        <w:trPr>
          <w:trHeight w:val="234"/>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Committee and Audit Committee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IAN HUEN, Founder, Chief Executive Officer and Executive Director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Huen graduated from Princeton University with an A.B. degree in Economics in June 2001, earned a MA in Comparative and Public History from CUHK in June 2016. Mr. Huen is also a Chartered Financial Analyst (“CFA”).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t>MR. K.K WONG, Head of Finance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PROFESSOR JUSTIN WU</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PROFESSOR DOUGLAS ARNER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https://papers.ssrn.com/sol3/cf_dev/AbsByAuth.cfm?per_id=524849,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Our Board of Directors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9" w:name="page220"/>
    <w:bookmarkEnd w:id="2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of</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 Term/Re-</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Election</w:t>
            </w:r>
          </w:p>
        </w:tc>
      </w:tr>
      <w:tr>
        <w:trPr>
          <w:trHeight w:val="245"/>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&amp; Class</w:t>
            </w:r>
          </w:p>
        </w:tc>
        <w:tc>
          <w:tcPr>
            <w:tcW w:w="120" w:type="dxa"/>
            <w:vAlign w:val="bottom"/>
          </w:tcPr>
          <w:p>
            <w:pPr>
              <w:spacing w:after="0"/>
              <w:rPr>
                <w:sz w:val="21"/>
                <w:szCs w:val="21"/>
                <w:color w:val="auto"/>
              </w:rPr>
            </w:pPr>
          </w:p>
        </w:tc>
        <w:tc>
          <w:tcPr>
            <w:tcW w:w="46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432"/>
        </w:trPr>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w:t>
            </w:r>
          </w:p>
        </w:tc>
        <w:tc>
          <w:tcPr>
            <w:tcW w:w="12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Huen</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 &amp; Executive 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Wu</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Arner</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age limit requirements relating to our director’s term of office.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Justin Wu and Douglas Arner 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 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i w:val="1"/>
          <w:iCs w:val="1"/>
          <w:color w:val="auto"/>
        </w:rPr>
        <w:t>Board’s Role in Risk Oversight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spacing w:after="0" w:line="176" w:lineRule="exact"/>
        <w:rPr>
          <w:sz w:val="20"/>
          <w:szCs w:val="20"/>
          <w:color w:val="auto"/>
        </w:rPr>
      </w:pPr>
    </w:p>
    <w:p>
      <w:pPr>
        <w:ind w:left="980" w:right="20" w:hanging="320"/>
        <w:spacing w:after="0" w:line="282"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our independent registered public accounting firm, and approving the audit and permitted non-audit services to be provided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0"/>
        <w:spacing w:after="0" w:line="282"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or accounting matters;</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accounting-related complaints and concerns;</w:t>
      </w:r>
    </w:p>
    <w:p>
      <w:pPr>
        <w:spacing w:after="0" w:line="225"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17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 and</w:t>
      </w:r>
    </w:p>
    <w:p>
      <w:pPr>
        <w:spacing w:after="0" w:line="225" w:lineRule="exact"/>
        <w:rPr>
          <w:rFonts w:ascii="Times New Roman" w:cs="Times New Roman" w:eastAsia="Times New Roman" w:hAnsi="Times New Roman"/>
          <w:sz w:val="18"/>
          <w:szCs w:val="18"/>
          <w:color w:val="auto"/>
        </w:rPr>
      </w:pPr>
    </w:p>
    <w:p>
      <w:pPr>
        <w:ind w:left="980" w:hanging="320"/>
        <w:spacing w:after="0" w:line="282"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type and presentation of information to be included in our earnings press releases, as well as financial information and earnings guidance provided by us to analysts and rating agencies.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i w:val="1"/>
          <w:iCs w:val="1"/>
          <w:color w:val="auto"/>
        </w:rPr>
        <w:t>Audit Committee Financial Expert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one financial expert as of the date of this 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spacing w:after="0" w:line="176" w:lineRule="exact"/>
        <w:rPr>
          <w:sz w:val="20"/>
          <w:szCs w:val="20"/>
          <w:color w:val="auto"/>
        </w:rPr>
      </w:pPr>
    </w:p>
    <w:p>
      <w:pPr>
        <w:ind w:left="980" w:hanging="320"/>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goals and objectives of our executive compensation plans, as well as our executive compensation plans in light of such goals and objectives;</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executive officers in light of the goals and objectives of our executive compensation plans and recommending to our Board of Directors with respect to the compensation of our executive officers;</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goals and objectives of our general compensation plans and other employee benefit plans as well as our general compensation plans and other employee benefit plans in light of such goals and objectives;</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25"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equity-compensation plans to be submitted for shareholder approval under the NASDAQ listing rules, and reviewing and approving all equity-compensation plans that are exempt from such shareholder approval requirement;</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 level of compensation for board and board committee service by non-employee directors; and</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description of executive compensation included in our Annual Report on Form 20-F.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spacing w:after="0" w:line="176" w:lineRule="exact"/>
        <w:rPr>
          <w:sz w:val="20"/>
          <w:szCs w:val="20"/>
          <w:color w:val="auto"/>
        </w:rPr>
      </w:pPr>
    </w:p>
    <w:p>
      <w:pPr>
        <w:ind w:left="980" w:right="20" w:hanging="320"/>
        <w:spacing w:after="0" w:line="282"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for election by the shareholders or appointment by our Board of Directors;</w:t>
      </w:r>
    </w:p>
    <w:p>
      <w:pPr>
        <w:spacing w:after="0" w:line="161" w:lineRule="exact"/>
        <w:rPr>
          <w:rFonts w:ascii="Times New Roman" w:cs="Times New Roman" w:eastAsia="Times New Roman" w:hAnsi="Times New Roman"/>
          <w:sz w:val="18"/>
          <w:szCs w:val="18"/>
          <w:color w:val="auto"/>
        </w:rPr>
      </w:pPr>
    </w:p>
    <w:p>
      <w:pPr>
        <w:jc w:val="both"/>
        <w:ind w:left="980" w:hanging="320"/>
        <w:spacing w:after="0" w:line="266"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spacing w:after="0" w:line="17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board committee of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i w:val="1"/>
          <w:iCs w:val="1"/>
          <w:color w:val="auto"/>
        </w:rPr>
        <w:t>Scientific Advisory Board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prospectus, we have 29 members on this board.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our directors, officers and employees. A copy of this code is available on our website: www.aptorumgroup.com. We intend to disclose on our website or in a current report on 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Duties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payment of donations to religious, charitable, public or other bodies, clubs, funds or associations as deemed advisable;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the company and mortgaging the property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checks, promissory notes and other negotiable instruments on behalf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registering a register of mortgages, charges or other encumbrances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Interested Transactions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3" w:name="page224"/>
    <w:bookmarkEnd w:id="2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Qualification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shareholding qualification for directors may be fixed by the Company in general meeting, and unless and until so fixed no qualification shall be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DIAMIR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Diamir’s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Alidad Mireskandari</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 S. Sheinerman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Director, Secretary and Treasurer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Anthony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Alidad Mireskandari, Ph.D., MBA, </w:t>
      </w:r>
      <w:r>
        <w:rPr>
          <w:rFonts w:ascii="Times New Roman" w:cs="Times New Roman" w:eastAsia="Times New Roman" w:hAnsi="Times New Roman"/>
          <w:sz w:val="18"/>
          <w:szCs w:val="18"/>
          <w:b w:val="1"/>
          <w:bCs w:val="1"/>
          <w:i w:val="1"/>
          <w:iCs w:val="1"/>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Mireskandari joined DiamiR in July 2022, and has over 12 years of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w:t>
      </w:r>
    </w:p>
    <w:p>
      <w:pPr>
        <w:jc w:val="both"/>
        <w:ind w:firstLine="8"/>
        <w:spacing w:after="0" w:line="253" w:lineRule="auto"/>
        <w:tabs>
          <w:tab w:leader="none" w:pos="18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Kira S. Sheinerman, Ph.D., MBA, </w:t>
      </w:r>
      <w:r>
        <w:rPr>
          <w:rFonts w:ascii="Times New Roman" w:cs="Times New Roman" w:eastAsia="Times New Roman" w:hAnsi="Times New Roman"/>
          <w:sz w:val="18"/>
          <w:szCs w:val="18"/>
          <w:b w:val="1"/>
          <w:bCs w:val="1"/>
          <w:i w:val="1"/>
          <w:iCs w:val="1"/>
          <w:color w:val="auto"/>
        </w:rPr>
        <w:t>Treasurer and Secretary, Executive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Kira Sheinerman joined DiamiR in September 2009,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Gary Anthony, </w:t>
      </w:r>
      <w:r>
        <w:rPr>
          <w:rFonts w:ascii="Times New Roman" w:cs="Times New Roman" w:eastAsia="Times New Roman" w:hAnsi="Times New Roman"/>
          <w:sz w:val="18"/>
          <w:szCs w:val="18"/>
          <w:b w:val="1"/>
          <w:bCs w:val="1"/>
          <w:i w:val="1"/>
          <w:iCs w:val="1"/>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Gary Anthony is an independent consultant providing management and support services to pre-IPO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Significant 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employees who are not executive officers, but who are expected to make significant contributions to Diamir’s business: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Gyanendra Kumar, PhD, </w:t>
      </w:r>
      <w:r>
        <w:rPr>
          <w:rFonts w:ascii="Times New Roman" w:cs="Times New Roman" w:eastAsia="Times New Roman" w:hAnsi="Times New Roman"/>
          <w:sz w:val="18"/>
          <w:szCs w:val="18"/>
          <w:b w:val="1"/>
          <w:bCs w:val="1"/>
          <w:i w:val="1"/>
          <w:iCs w:val="1"/>
          <w:color w:val="auto"/>
        </w:rPr>
        <w:t>VP, Assay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Kumar joined DiamiR in April 2021, and is an accomplished research &amp;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 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Kenny K. Ablordeppey, MS, </w:t>
      </w:r>
      <w:r>
        <w:rPr>
          <w:rFonts w:ascii="Times New Roman" w:cs="Times New Roman" w:eastAsia="Times New Roman" w:hAnsi="Times New Roman"/>
          <w:sz w:val="18"/>
          <w:szCs w:val="18"/>
          <w:b w:val="1"/>
          <w:bCs w:val="1"/>
          <w:i w:val="1"/>
          <w:iCs w:val="1"/>
          <w:color w:val="auto"/>
        </w:rPr>
        <w:t>Laboratory Supervisor &amp; Project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Ablordeppey joined DiamiR in April 2021.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DiamiR, he was 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prospectus, DiamiR has 4 members on this board.</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Henry (Harv) M. Rinder, MD, MA, FACP, FASCP, </w:t>
      </w:r>
      <w:r>
        <w:rPr>
          <w:rFonts w:ascii="Times New Roman" w:cs="Times New Roman" w:eastAsia="Times New Roman" w:hAnsi="Times New Roman"/>
          <w:sz w:val="18"/>
          <w:szCs w:val="18"/>
          <w:b w:val="1"/>
          <w:bCs w:val="1"/>
          <w:i w:val="1"/>
          <w:iCs w:val="1"/>
          <w:color w:val="auto"/>
        </w:rPr>
        <w:t>Professor of Laboratory Medicine &amp; Internal Medicine (Hematology), Yale School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Medicine &amp; Yale-New Haven Hospital. </w:t>
      </w:r>
      <w:r>
        <w:rPr>
          <w:rFonts w:ascii="Times New Roman" w:cs="Times New Roman" w:eastAsia="Times New Roman" w:hAnsi="Times New Roman"/>
          <w:sz w:val="18"/>
          <w:szCs w:val="18"/>
          <w:color w:val="auto"/>
        </w:rPr>
        <w:t>He received a BS degree from Yale and MD from UVM, where he also completed a post-sophomore pathology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industry/pharma, projects. Dr. Rinder is a volunteer for the ASCP, serving on committees tasked with education and professional development, and currently is President of the ASCP, serving the pathology and laboratory professional workforce.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Rissman, PhD, </w:t>
      </w:r>
      <w:r>
        <w:rPr>
          <w:rFonts w:ascii="Times New Roman" w:cs="Times New Roman" w:eastAsia="Times New Roman" w:hAnsi="Times New Roman"/>
          <w:sz w:val="18"/>
          <w:szCs w:val="18"/>
          <w:b w:val="1"/>
          <w:bCs w:val="1"/>
          <w:i w:val="1"/>
          <w:iCs w:val="1"/>
          <w:color w:val="auto"/>
        </w:rPr>
        <w:t>Professor Physiology and Neuroscience and the W.M. Keck Endowed Professor in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Rissman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founding Director of 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 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5" w:name="page226"/>
    <w:bookmarkEnd w:id="2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Sydney Finkelstein MD</w:t>
      </w:r>
      <w:r>
        <w:rPr>
          <w:rFonts w:ascii="Times New Roman" w:cs="Times New Roman" w:eastAsia="Times New Roman" w:hAnsi="Times New Roman"/>
          <w:sz w:val="18"/>
          <w:szCs w:val="18"/>
          <w:color w:val="auto"/>
        </w:rPr>
        <w:t>, Dr. Finkelstein is a board-certified pathologist specializing in gastrointestinal pathology with extensive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Mikhail Denissenko, MD, PhD, </w:t>
      </w:r>
      <w:r>
        <w:rPr>
          <w:rFonts w:ascii="Times New Roman" w:cs="Times New Roman" w:eastAsia="Times New Roman" w:hAnsi="Times New Roman"/>
          <w:sz w:val="18"/>
          <w:szCs w:val="18"/>
          <w:b w:val="1"/>
          <w:bCs w:val="1"/>
          <w:i w:val="1"/>
          <w:iCs w:val="1"/>
          <w:color w:val="auto"/>
        </w:rPr>
        <w:t>Director, Program Management Hologic,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Mikhail Denissenko has over 20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Diagnostics and Drug 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 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Kevin Krenitsky, MD. </w:t>
      </w:r>
      <w:r>
        <w:rPr>
          <w:rFonts w:ascii="Times New Roman" w:cs="Times New Roman" w:eastAsia="Times New Roman" w:hAnsi="Times New Roman"/>
          <w:sz w:val="18"/>
          <w:szCs w:val="18"/>
          <w:color w:val="auto"/>
        </w:rPr>
        <w:t>From 2015-2016, Kevin Krenitsky served as President of OpGen (NASDAQ:OPGN) and oversaw the rollout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Acuitas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6" w:name="page227"/>
    <w:bookmarkEnd w:id="2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FOLLOWING MERGER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Immediately following the Merger, the Combined Company Board will be composed of five (5) members, two (2) of whom have been designated by DiamiR Primary Stockholder Parties and three (3) of whom has been designated by Aptorum and agreed to by DiamiR.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lists names, ages and positions of the individuals who are expected to serve as executive officers and directors of the Combined Company following completion of the DiamiR Merger. Under the table is a brief biography for the nominee who will become a member of the Combine Company’s board after the Merger; biographies for the other officers and directors of the Combined Company are included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Huen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Anthony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Alidad Mireskandari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Operation Officer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Kira Sheinerman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Director, Secretary and Treasurer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Wu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Arner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A. Philips*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bl>
    <w:p>
      <w:pPr>
        <w:spacing w:after="0" w:line="206" w:lineRule="exact"/>
        <w:rPr>
          <w:sz w:val="20"/>
          <w:szCs w:val="20"/>
          <w:color w:val="auto"/>
        </w:rPr>
      </w:pPr>
    </w:p>
    <w:p>
      <w:pPr>
        <w:ind w:left="380" w:right="20" w:hanging="345"/>
        <w:spacing w:after="0" w:line="282" w:lineRule="auto"/>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has indicated her consent to occupy such position upon closing of the Merger and is considered one of the Primary Stockholder Designees.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7" w:name="page228"/>
    <w:bookmarkEnd w:id="22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LAURA A. PHILIPS,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Philips is the co-founder, President and Chief Executive Officer of Spheryx, Inc. a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 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spacing w:after="0" w:line="18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Compensation of Company Executive Officers and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remit any compensation to our officers or directions in fiscal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8" w:name="page229"/>
    <w:bookmarkEnd w:id="2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Share Option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 (B)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21,853 options were granted on March 15, 2019 to directors, employees, external consultants and advisors of the Group. One-half of each option grant vests on January 1, 2020 and expires on December 31, 2030, and the other half vests on January 1, 2021 and expires on December 31, 2031. The exercise price is $129.1 per share, which was based on the closing price of the shares traded on the NASDAQ stock exchange on the trading day preceding the grant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53,694 options were granted on March 16, 2020 to directors, employees, external consultants and advisors of the Group. One-half of each option grant vests on January 1, 2021 and expires on December 31, 2031 and the other half vests on January 1, 2022, and expires on December 31, 2032. The exercise price is $29.9 per share, which was based on the average closing price of the shares traded on the NASDAQ stock exchange for the five trading days immediately preceding the grant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14,896 options were granted on June 1, 2020 to directors and employees of the Group. Nearly one-half of each option grant vests on December 1, 2020 and expires on November 30, 2030 and the remaining vests on January 1, 2021 and expires on December 31, 2031. The exercise price is US$31.1 per share, which was based on the average closing price of the shares traded on the NASDAQ stock exchange for the five trading days immediately preceding the grant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2,748 options were granted on August 10, 2020 to Dr. Weiss, which will be vested on August 10, 2021 and expires on August 9, 2032. The exercise price is $36.4 per share, which was based on the average closing price of the shares traded on the NASDAQ stock exchange for the five trading days immediately preceding the grant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9" w:name="page230"/>
    <w:bookmarkEnd w:id="2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75,235 options were granted on March 11, 2021 to directors, employees, external consultants and advisors of the Group with an exercise price of $27.6 per share, which was based on the average closing price of the shares traded on the NASDAQ stock exchange for the five trading days immediately preceding the grant date. 36,796 options vest on January 1, 2022, and expire on December 31, 2032; 36,808 options vest on January 1, 2023 and expire on December 31, 2033; 906 options vest on June 8, 2021 and expire on June 7, 2032; and 725 options vest on July 14, 2021 and expire on July 13, 2032.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Group issued 0, 446,842 and 427,060 Class A Ordinary Shares to share option holders as a result of exercise of options,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DiamiR Executive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compensation table sets forth all compensation awarded to, earned by, or paid to the DiamiR named executive officer during the years ended May 31, 2025 and 2024 in all capacities for the accounts of the executive, including the Chief Executive Officer (CEO), Chief Financial Officer (CFO) and Chief Scientific Officer (CSO):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6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198"/>
        </w:trPr>
        <w:tc>
          <w:tcPr>
            <w:tcW w:w="1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Alidad</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Mireskandari</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157,670</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157,670</w:t>
            </w: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CEO</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215,000</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215,000</w:t>
            </w: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Knechtel</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CFO</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8"/>
                <w:szCs w:val="18"/>
                <w:color w:val="auto"/>
              </w:rPr>
              <w:t>$  187,500</w:t>
            </w:r>
            <w:r>
              <w:rPr>
                <w:rFonts w:ascii="Times New Roman" w:cs="Times New Roman" w:eastAsia="Times New Roman" w:hAnsi="Times New Roman"/>
                <w:sz w:val="29"/>
                <w:szCs w:val="29"/>
                <w:color w:val="auto"/>
                <w:vertAlign w:val="superscript"/>
              </w:rPr>
              <w:t>(1)</w:t>
            </w:r>
          </w:p>
        </w:tc>
        <w:tc>
          <w:tcPr>
            <w:tcW w:w="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Samuil</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11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Umansky</w:t>
            </w:r>
            <w:r>
              <w:rPr>
                <w:rFonts w:ascii="Times New Roman" w:cs="Times New Roman" w:eastAsia="Times New Roman" w:hAnsi="Times New Roman"/>
                <w:sz w:val="29"/>
                <w:szCs w:val="29"/>
                <w:color w:val="auto"/>
                <w:vertAlign w:val="superscript"/>
              </w:rPr>
              <w:t>(2)</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65,770</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65,770</w:t>
            </w: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CSO</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128,625</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Umansky passed away in January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 2014, DiamiR’s Board of Directors approved and adopted the 2014 Stock Option Plan (the “2014 Plan”).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prospectus, there are 511,950 options or other grants outstanding under the Plan. No further shares may be granted under the 2014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unexercised options, unvested stocks and equity incentive plan awards held by each of DiamiR’s named executive officers, as of May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May 31, 2025</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Markey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Usernamed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Units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Been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9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Alidad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July 8,</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Mireskandari</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74,000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154,000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8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616,880</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Fred Knechtel</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94,500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31, 2033</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Samuil</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Umansky</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Based on the estimated grant-date fair value of $7.01 for year ended May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Stock Option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31, 2024, DiamiR’s Board of Directors approved and adopted the 2024 Stock Option Plan (the “2024 Plan”), The 2024 Plan is effective as of May 31, 2024 and is intended to replace the 2014 plan, which expired on September 30, 2024.</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prospectus, there are no options or other grants outstanding under the 2024 Plan, except that the Company entered into employment agreements with executives and compensation arrangements with prospective Board members that provide for options for an aggregate of 360,000 shares in the event the Company completes an initial public offering of its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Dr. Sheinerman is DiamiR’s sole director. DiamiR currently does not have a policy to pay its director for serving on its board or fees for attending scheduled and special meetings of its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COMPANY TRANSACTIONS WITH RELATED PERSONS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four years and will mature on August 12, 2026.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 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Purchases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of convertible notes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non-solicitation and non-compete restrictions during the term of his or her employment and typically for one year following the last date of employment. Specifically, each executive officer has agreed not to (i) 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 services to, or otherwise engage in income generating activities with any of our competitors, or engage, whether as principal, partner, licensor or otherwise, any of our competitors, without our express consent.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of our Appointment Letters also provide for the executive officer to participate in our mandatory provident fund, which is similar to a pension fund.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DIAMIR TRANSACTIONS WITH RELATED PERSONS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30, 2023, DiamiR entered into an insider stock purchase agreement with Kira Sheinerman, pursuant to which it issued her 14,265 shares of its common stock for $100,000.</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Ordinary Shares as of the date of this prospectus.</w:t>
      </w:r>
    </w:p>
    <w:p>
      <w:pPr>
        <w:spacing w:after="0" w:line="162"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who beneficially own our Ordinary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5.0% of our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5" w:name="page236"/>
    <w:bookmarkEnd w:id="2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Class A Ordinary Shares and 1,796,934 Class B Ordinary Shares outstanding as of the date of this prospectus.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individuals is 17 Hanover Square, London, W1S 1BN, United Kingdom.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of Total</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7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Shares</w:t>
            </w:r>
            <w:r>
              <w:rPr>
                <w:rFonts w:ascii="Times New Roman" w:cs="Times New Roman" w:eastAsia="Times New Roman" w:hAnsi="Times New Roman"/>
                <w:sz w:val="29"/>
                <w:szCs w:val="29"/>
                <w:b w:val="1"/>
                <w:bCs w:val="1"/>
                <w:color w:val="auto"/>
                <w:w w:val="93"/>
                <w:vertAlign w:val="superscript"/>
              </w:rPr>
              <w:t>(1)</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(2)</w:t>
            </w:r>
          </w:p>
        </w:tc>
        <w:tc>
          <w:tcPr>
            <w:tcW w:w="160" w:type="dxa"/>
            <w:vAlign w:val="bottom"/>
            <w:tcBorders>
              <w:bottom w:val="single" w:sz="8" w:color="CCEEFF"/>
            </w:tcBorders>
          </w:tcPr>
          <w:p>
            <w:pPr>
              <w:spacing w:after="0"/>
              <w:rPr>
                <w:sz w:val="24"/>
                <w:szCs w:val="24"/>
                <w:color w:val="auto"/>
              </w:rPr>
            </w:pPr>
          </w:p>
        </w:tc>
      </w:tr>
      <w:tr>
        <w:trPr>
          <w:trHeight w:val="257"/>
        </w:trPr>
        <w:tc>
          <w:tcPr>
            <w:tcW w:w="5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Ian Huen</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1,900,244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1,606,147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 Wong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Wu</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Arner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(4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1,942,140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1,606,147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86.71%</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Beneficial Owner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Jurchen Investment Corporation</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1,762,585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1,606,147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86.63%</w:t>
            </w:r>
          </w:p>
        </w:tc>
      </w:tr>
      <w:tr>
        <w:trPr>
          <w:trHeight w:val="256"/>
        </w:trPr>
        <w:tc>
          <w:tcPr>
            <w:tcW w:w="5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L1 Capital Global Opportunities Master Fund, Ltd.</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r>
        <w:trPr>
          <w:trHeight w:val="39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CGY Investments Limited</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0.29%</w:t>
            </w:r>
          </w:p>
        </w:tc>
      </w:tr>
    </w:tbl>
    <w:p>
      <w:pPr>
        <w:spacing w:after="0" w:line="60"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total outstanding Ordinary Shares on an as converted basis.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Class A Ordinary Shares and Class B Ordinary Shares beneficially owned by such person or group, including shares that such person or group has the right to acquire within 60 days after the date of this prospectus, by the sum of Class A Ordinary Shares and Class B Ordinary Shares, and the number of Class A Ordinary Shares that such person or group has the right to acquire beneficial ownership within 60 days after the date of this prospectus. Following the IPO, each Class B Ordinary Share can be converted at any time on a one-for-one basis into Class A Ordinary Shares at the discretion of the holder.</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total voting power represents voting power based on both Class A Ordinary Shares and Class B Ordinary Shares beneficially owned by such person or group with respect to all of our outstanding Class A Ordinary Shares and Class B Ordinary Shares as one single class. Holders of Class A Ordinary Shares are entitled to one vote per share and holders of Class B Ordinary Shares are entitled to one hundred votes per share on all matters subject to a shareholders’ vote.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6" w:name="page237"/>
    <w:bookmarkEnd w:id="236"/>
    <w:p>
      <w:pPr>
        <w:jc w:val="both"/>
        <w:ind w:left="340" w:hanging="332"/>
        <w:spacing w:after="0" w:line="235"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370,308 Class A Ordinary Shares owned by Jurchen, warrants held by Jurchen to purchase 54,054 Class A Ordinary Shares, convertible notes held by Jurchen to convert 1,338,223 Class A Ordinary Shares, 137,659 Class A Ordinary Shares owned by Mr. Huen, and 1,606,147 Class B Ordinary Shares owned by Jurchen. Jurchen Investment Corporation, is a company wholly owned by Mr. Huen, and their ownership only includes those securities held in their name. Mr. Huen maintains sole voting control over the shares held by Jurchen, the principal office address of which is at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Guangdong Investment Tower, 148 Connaught Road Central, Hong Kong.</w:t>
      </w:r>
    </w:p>
    <w:p>
      <w:pPr>
        <w:spacing w:after="0" w:line="19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Feldman and Joel Arber are the Directors of L1 Capital Global Opportunities Master Fund. As such they may be deemed to be beneficial owners of such Class A Ordinary Shares. To the extent Mr. Feldman and Mr. Arber are deemed to beneficially own such securities, Mr. Feldman and Mr. Arber disclaim beneficial ownership of these securities for all other purposes, except to the extent of their pecuniary interests. The business address of L1 Capital Global Opportunities Master Fund is 161A Shedden Road, 1 Artillery Court, PO Box 10085, Grand Cayman KY1-1001, Cayman Islands.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CGY Investments Limited is 50% held by Seng Fun Yee, 25% held by Mandy Lui and 25% held by Adrian Lui (all of whom are related to our former CEO, Mr. Darren Lui). Mr. Lui controls and/or has substantial influence on the disposition and voting rights of the shares held by his spouse, but no such control over the shares held by his sister or brother. Includes 533,575 Class A Ordinary Shares held by CGY Investments Limited. The address for CGY is Unit A 3/F Cheong Sun Tower, 116-118 Wing Lok St, Sheung Wan, Hong Kong.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DIAMIR’S SECURITY OWNERSHIP OF CERTAIN BENEFICIAL OWNERS AND MANAGEMENT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DiamiR’s common stock. The information below indicates:</w:t>
      </w:r>
    </w:p>
    <w:p>
      <w:pPr>
        <w:spacing w:after="0" w:line="189" w:lineRule="exact"/>
        <w:rPr>
          <w:sz w:val="20"/>
          <w:szCs w:val="20"/>
          <w:color w:val="auto"/>
        </w:rPr>
      </w:pPr>
    </w:p>
    <w:p>
      <w:pPr>
        <w:ind w:left="1060" w:right="40" w:hanging="350"/>
        <w:spacing w:after="0" w:line="282" w:lineRule="auto"/>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five percent (5%) of DiamiR’s issued and outstanding shares of common stock;</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DiamiR’s directors, executive officers and nominees to become directors; and</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is calculated based on 4,440,891 shares of common stock outstanding and 0 shares of Preferred Stock outstanding as of May 26, 2026.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May 26, 2026. As used herein, “voting power” is the power to vote or direct the voting of shares and “investment power” includes the power to dispose or direct the disposition of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for the DiamiR officers and directors is 11 Deer Park Drive, Suite 102G, Monmouth Junction, NJ 08852.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 of common</w:t>
            </w:r>
          </w:p>
        </w:tc>
      </w:tr>
      <w:tr>
        <w:trPr>
          <w:trHeight w:val="245"/>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 beneficially owned</w:t>
            </w:r>
          </w:p>
        </w:tc>
      </w:tr>
      <w:tr>
        <w:trPr>
          <w:trHeight w:val="236"/>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Alidad Mireskandari</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Kira S. Sheinerman</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3,325,688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Gary Anthony</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(3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3,399,688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Galina Umansky</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Mr. Mireskandari’s option to purchase common stock that can be vested and exercised within the next 60 days.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1,992,221 shares issued directly to Dr. Sheinerman and 1,333,467 transferred to her in probate that were initially held by her father, Samuil Umansky.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2023, Mr. Anthony has been serving us a financial consultant and is expected to step into the role of Chief Financial Officer after the consummation of this offering.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transferred to her in probate that were initially held by Samuil Umansky.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 OF THE COMBINED COMPANY</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19,917,413 shares of Aptorum Delaware Common Stock will be issued in the Merger. The percentage of beneficial ownership is based on 8,143,757 shares of Aptorum Delaware Common Stock being outstanding as of the Record Date and approximately 1,338,223 shares issuable on conversion of outstanding notes payable.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address for each beneficial owner is 116 Village Boulevard, Suite 200, Princeton, NJ 08540.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45"/>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0" w:type="dxa"/>
            <w:vAlign w:val="bottom"/>
          </w:tcPr>
          <w:p>
            <w:pPr>
              <w:spacing w:after="0"/>
              <w:rPr>
                <w:sz w:val="1"/>
                <w:szCs w:val="1"/>
                <w:color w:val="auto"/>
              </w:rPr>
            </w:pPr>
          </w:p>
        </w:tc>
      </w:tr>
      <w:tr>
        <w:trPr>
          <w:trHeight w:val="216"/>
        </w:trPr>
        <w:tc>
          <w:tcPr>
            <w:tcW w:w="8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Ian Huen, Chief Executive Officer &amp; Director</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3,506,391</w:t>
            </w: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920" w:type="dxa"/>
            <w:vAlign w:val="bottom"/>
            <w:shd w:val="clear" w:color="auto" w:fill="CCEEFF"/>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Anthony, Chief Financial Officer</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Alidad Mireskandari, President &amp; COO</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804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Kira Sheinerman, Director</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
                <w:szCs w:val="1"/>
                <w:color w:val="auto"/>
              </w:rPr>
              <w:t>14,787,403</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A. Philips, Director**</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Justin Wu, Director</w:t>
            </w:r>
          </w:p>
        </w:tc>
        <w:tc>
          <w:tcPr>
            <w:tcW w:w="6120" w:type="dxa"/>
            <w:vAlign w:val="bottom"/>
          </w:tcPr>
          <w:p>
            <w:pPr>
              <w:spacing w:after="0"/>
              <w:rPr>
                <w:sz w:val="18"/>
                <w:szCs w:val="18"/>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Arner, Director</w:t>
            </w:r>
          </w:p>
        </w:tc>
        <w:tc>
          <w:tcPr>
            <w:tcW w:w="6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18,750,712</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rPr>
                <w:sz w:val="11"/>
                <w:szCs w:val="11"/>
                <w:color w:val="auto"/>
              </w:rPr>
            </w:pPr>
          </w:p>
        </w:tc>
        <w:tc>
          <w:tcPr>
            <w:tcW w:w="6120" w:type="dxa"/>
            <w:vAlign w:val="bottom"/>
            <w:shd w:val="clear" w:color="auto" w:fill="CCEEFF"/>
          </w:tcPr>
          <w:p>
            <w:pPr>
              <w:jc w:val="right"/>
              <w:ind w:right="5465"/>
              <w:spacing w:after="0" w:line="135" w:lineRule="exact"/>
              <w:rPr>
                <w:sz w:val="20"/>
                <w:szCs w:val="20"/>
                <w:color w:val="auto"/>
              </w:rPr>
            </w:pPr>
            <w:r>
              <w:rPr>
                <w:rFonts w:ascii="Times New Roman" w:cs="Times New Roman" w:eastAsia="Times New Roman" w:hAnsi="Times New Roman"/>
                <w:sz w:val="15"/>
                <w:szCs w:val="15"/>
                <w:color w:val="auto"/>
              </w:rPr>
              <w:t>(1)</w:t>
            </w:r>
          </w:p>
        </w:tc>
        <w:tc>
          <w:tcPr>
            <w:tcW w:w="1740" w:type="dxa"/>
            <w:vAlign w:val="bottom"/>
            <w:gridSpan w:val="3"/>
            <w:vMerge w:val="restart"/>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3,368,732</w:t>
            </w: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040" w:type="dxa"/>
            <w:vAlign w:val="bottom"/>
            <w:gridSpan w:val="2"/>
            <w:shd w:val="clear" w:color="auto" w:fill="CCEEFF"/>
          </w:tcPr>
          <w:p>
            <w:pPr>
              <w:spacing w:after="0" w:line="27" w:lineRule="exact"/>
              <w:rPr>
                <w:sz w:val="20"/>
                <w:szCs w:val="20"/>
                <w:color w:val="auto"/>
              </w:rPr>
            </w:pPr>
            <w:r>
              <w:rPr>
                <w:rFonts w:ascii="Times New Roman" w:cs="Times New Roman" w:eastAsia="Times New Roman" w:hAnsi="Times New Roman"/>
                <w:sz w:val="3"/>
                <w:szCs w:val="3"/>
                <w:color w:val="auto"/>
              </w:rPr>
              <w:t>Jurchen Investment Corporation</w:t>
            </w:r>
          </w:p>
        </w:tc>
        <w:tc>
          <w:tcPr>
            <w:tcW w:w="1740" w:type="dxa"/>
            <w:vAlign w:val="bottom"/>
            <w:gridSpan w:val="3"/>
            <w:vMerge w:val="continue"/>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920" w:type="dxa"/>
            <w:vAlign w:val="bottom"/>
            <w:shd w:val="clear" w:color="auto" w:fill="CCEEFF"/>
          </w:tcPr>
          <w:p>
            <w:pPr>
              <w:spacing w:after="0"/>
              <w:rPr>
                <w:sz w:val="8"/>
                <w:szCs w:val="8"/>
                <w:color w:val="auto"/>
              </w:rPr>
            </w:pPr>
          </w:p>
        </w:tc>
        <w:tc>
          <w:tcPr>
            <w:tcW w:w="6120" w:type="dxa"/>
            <w:vAlign w:val="bottom"/>
            <w:shd w:val="clear" w:color="auto" w:fill="CCEEFF"/>
          </w:tcPr>
          <w:p>
            <w:pPr>
              <w:spacing w:after="0"/>
              <w:rPr>
                <w:sz w:val="8"/>
                <w:szCs w:val="8"/>
                <w:color w:val="auto"/>
              </w:rPr>
            </w:pPr>
          </w:p>
        </w:tc>
        <w:tc>
          <w:tcPr>
            <w:tcW w:w="1740" w:type="dxa"/>
            <w:vAlign w:val="bottom"/>
            <w:gridSpan w:val="3"/>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10"/>
                <w:szCs w:val="10"/>
                <w:color w:val="auto"/>
              </w:rPr>
              <w:t>(1)</w:t>
            </w: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9"/>
              </w:rPr>
              <w:t>CGY Investments Limited</w:t>
            </w:r>
          </w:p>
        </w:tc>
        <w:tc>
          <w:tcPr>
            <w:tcW w:w="6120" w:type="dxa"/>
            <w:vAlign w:val="bottom"/>
          </w:tcPr>
          <w:p>
            <w:pPr>
              <w:jc w:val="right"/>
              <w:ind w:right="5865"/>
              <w:spacing w:after="0" w:line="162" w:lineRule="exact"/>
              <w:rPr>
                <w:sz w:val="20"/>
                <w:szCs w:val="20"/>
                <w:color w:val="auto"/>
              </w:rPr>
            </w:pPr>
            <w:r>
              <w:rPr>
                <w:rFonts w:ascii="Times New Roman" w:cs="Times New Roman" w:eastAsia="Times New Roman" w:hAnsi="Times New Roman"/>
                <w:sz w:val="15"/>
                <w:szCs w:val="15"/>
                <w:color w:val="auto"/>
                <w:w w:val="91"/>
              </w:rPr>
              <w:t>(3)</w:t>
            </w:r>
          </w:p>
        </w:tc>
        <w:tc>
          <w:tcPr>
            <w:tcW w:w="174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3,531,999</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740" w:type="dxa"/>
            <w:vAlign w:val="bottom"/>
            <w:gridSpan w:val="3"/>
          </w:tcPr>
          <w:p>
            <w:pPr>
              <w:jc w:val="right"/>
              <w:ind w:right="100"/>
              <w:spacing w:after="0" w:line="95" w:lineRule="exact"/>
              <w:rPr>
                <w:sz w:val="20"/>
                <w:szCs w:val="20"/>
                <w:color w:val="auto"/>
              </w:rPr>
            </w:pPr>
            <w:r>
              <w:rPr>
                <w:rFonts w:ascii="Times New Roman" w:cs="Times New Roman" w:eastAsia="Times New Roman" w:hAnsi="Times New Roman"/>
                <w:sz w:val="10"/>
                <w:szCs w:val="10"/>
                <w:color w:val="auto"/>
              </w:rPr>
              <w:t>(4)</w:t>
            </w: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Galina Umansky</w:t>
            </w:r>
          </w:p>
        </w:tc>
        <w:tc>
          <w:tcPr>
            <w:tcW w:w="6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1,817,251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has indicated her consent to occupy such position upon closing of the Merger and is considered one of the Primary Stockholder Designees.</w:t>
      </w:r>
    </w:p>
    <w:p>
      <w:pPr>
        <w:spacing w:after="0" w:line="162" w:lineRule="exact"/>
        <w:rPr>
          <w:sz w:val="20"/>
          <w:szCs w:val="20"/>
          <w:color w:val="auto"/>
        </w:rPr>
      </w:pPr>
    </w:p>
    <w:p>
      <w:pPr>
        <w:jc w:val="both"/>
        <w:ind w:left="340" w:hanging="332"/>
        <w:spacing w:after="0" w:line="25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507,967 shares of Aptorum Delaware Common Stock, 1,606,147 shares of Aptorum Delaware Series A Preferred Stock and 1,338,223 and 54,054 shares of Aptorum Delaware Common Stock underlying convertible notes and warrants, respectively held by Mr. Huen. This also includes 370,308 shares of Aptorum Delaware Common Stock, 1,606,147 shares of Aptorum Delaware Series A Preferred Stock and 1,338,223 and 54,054 shares of Aptorum Delaware Common Stock underlying convertible notes and warrants, respectively,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8" w:name="page239"/>
    <w:bookmarkEnd w:id="238"/>
    <w:p>
      <w:pPr>
        <w:ind w:left="340" w:hanging="332"/>
        <w:spacing w:after="0" w:line="282"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2,772 shares of Aptorum Delaware Common Stock issued to Ms. Sheinerman that shall automatically convert from DiamiR common stock pursuant to the Merger and 14,784,631 shares of Aptorum Delaware Common Stock issued to Ms. Sheinerman pursuant to the Merger.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CGY Investments Limited is 50% held by Seng Fun Yee, 25% held by Mandy Lui and 25% held by Adrian Lui (all of whom are related to Aptorum’s former Chief Executive Officer, Mr. Darren Lui). Mr. Lui controls and/or has substantial influence on the disposition and voting rights of the shares held by his spouse, but no such control over the shares held by his sister or brother. The address for CGY is Unit A, 3/F, Cheong Sun Tower, 116-118 Wing Lok Street, Sheung Wan, Hong Kong.</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533,575 shares of Aptorum Delaware Common Stock, 1,606,147 shares of Aptorum Delaware Series A Preferred Stock and 1,338,223 and 54,054 shares of Aptorum Delaware Common Stock underlying convertible notes and warrants, respectively held by CGY.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Cayman Islands exempted company with limited liability and our affairs are governed by our Memorandum and Articles, the Companies Act, the common law of the Cayman Islands, our corporate governance documents and rules and regulations of the stock exchange on which are shares are traded.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the authorized share capital of the Company is $100,000,000, consisting of 9,999,996,000,000 Class A Ordinary Shares, par value $0.00001 each and 4,000,000 Class B Ordinary Shares, par value $0.00001 each. As of May 26, 2026, 6,346,823 Class A Ordinary Shares and 1,796,934 Class B Ordinary Shares are issued and outstanding. All of our issued and outstanding Class A Ordinary Shares and Class B Ordinary Shares are fully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corporate governance policies and the Companies Act insofar as they relate to the material terms of our Class A Ordinary Shares and Class B Ordinary Shares (our class B Ordinary Shares are not registered pursuant to Section 12(b), 12(g) or Section 15(d) of the Act, but we are voluntarily including information with respect to same in this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the objects of our Company are unrestricted and we have the full power and authority to carry out any object not prohibited by the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is divided into Class A Ordinary Shares and Class B Ordinary Shares. Holders of our Class A Ordinary Shares and Class B Ordinary Shares will have the same rights except for voting rights and conversion rights.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Class A Ordinary Shares are entitled to one vote for each such share held and shall be entitled to notice of any shareholders’ meeting, and, subject to the terms of Memorandum and Articles, to vote thereat. The Class A Ordinary Shares are not redeemable at the option of the holder and are not convertible into shares of any other class.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Class B Ordinary Shares shall have the right to 100 votes for each such share held, and shall be entitled to notice of any shareholders’ meeting and, subject to the terms of the Memorandum and Articles, to vote thereat. The Class B Ordinary Shares are not redeemable at the option of the holder but are convertible into Class A Ordinary Shares at any time after issue at the option of the holder on a one to one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holders of our Class A Ordinary Shares and Class B Ordinary Shares are entitled to such dividends as may be declared by our Board of Directors subject to the Companies Act and to our Memorandum and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respect of all matters subject to a shareholders’ vote, each Class B Ordinary Share is entitled to 100 votes, and each Class A Ordinary Share is entitled to one vote, voting together as one class. Voting at any shareholders’ meeting is by show of hands unless a poll is demanded by the chairman or persons holding certain amounts of shares as set forth in the Memorandum and Articles. Actions that may be taken at a general meeting also may be taken by a unanimous resolution of the shareholders in writing.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two members present in person or by proxy, one of whom shall be the holder of the majority of the shares in the Company, shall be a quorum provided always that if the Company has one member of record the quorum shall be that one member present in person or by proxy. An ordinary resolution to be passed at a general meeting requires the affirmative vote of a simple majority of the votes cast, while a special resolution requires the affirmative vote of at least two-thirds of votes cast at a general meeting. A special resolution will be required for important matters.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special resolution of members is required to change the name of the Company, approve a merger, wind up the Company, amend the Memorandum and Articles and reduce the share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 A Ordinary Shares are not convertible. Each Class B Ordinary Share shall be convertible, at the option of the holder thereof, into such number of fully paid and non-assessable Class A Ordinary Shares on the basis that one Class B Ordinary Share shall be converted into one Class A Ordinary Share (being a 1:1 ratio and hereafter referred to as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subject to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its or her Class A Ordinary Shares or Class B Ordinary Shares by an instrument of transfer in the usual or common form or any other form approved by our Board of Directors or in a form prescribed by the stock exchange on which our shares are then listed.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may, in its sole discretion, decline to register any transfer of any Class A Ordinary Shares or Class B Ordinary Shares whether or not it is fully paid up to the total consideration paid for such shares. Our directors may also decline to register any transfer of any Class A Ordinary Shares or Class B Ordinary Shares if (a) the instrument of transfer is not accompanied by the certificate covering the shares to which it relates or any other evidence as our Board of Directors may reasonably require to prove the title of the transferor to, or his/her right to transfer the shares; or (b) the instrument of transfer is in respect of more than one class of shares.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the transferee notice of such refusal.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0" w:name="page241"/>
    <w:bookmarkEnd w:id="2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Winding-Up/Liquidation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shares), a liquidator may be appointed to determine how to distribute the assets among the holders of the Class A Ordinary Shares and Class B Ordinary Shares. If our assets available for distribution are insufficient to repay all of the paid-up capital, the assets will be distributed so that the losses are borne by our shareholders proportionately; a similar basis will be employed if the assets are more than sufficient to repay the whole of the capital at the commencement of the winding 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Class A Ordinary Shares or Class B Ordinary Shares in a notice served to such shareholders at least 14 days prior to the specified time and place of payment. The shares that have been called upon and remain unpaid on the specified time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shares on terms that are subject to redemption, at our option or at the option of the holders, on such terms and in such manner as may be determined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or any of the special rights attached to any class of shares may, be varied with the the consent in writing of the holders of a simple majority of the issued shares of that class or with the sanction of a resolution passed at a meeting of the holders of such class of shares by the holder or holders of a simple majority of such shares present in person or by proxy at such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Companies Act or authorized by the Directors or by the Company in a general meeting. However, the Directors shall from time to time cause to be prepared and to be laid before the Company in a general meeting, profit and loss accounts, balance sheets, group accounts (if any) and such other reports and accounts as may be required by Companies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Memorandum and Articles authorize our Board of Directors to issue additional Class A Ordinary Shares or Class B Ordinary Shares from time to time as our Board of Directors shall determine, to the extent there are available authorized but unissued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1" w:name="page242"/>
    <w:bookmarkEnd w:id="2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Memorandum and Articles also authorizes our Board of Directors to establish from time to time one or more series of preferred shares and to determine, subject to compliance with the variation of rights of shares provision in the Memorandum and Articles, with respect to any series of preferred shares, the terms and rights of that series, including:</w:t>
      </w:r>
    </w:p>
    <w:p>
      <w:pPr>
        <w:spacing w:after="0" w:line="176" w:lineRule="exact"/>
        <w:rPr>
          <w:sz w:val="20"/>
          <w:szCs w:val="20"/>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there are authorized but unissued shares available. Issuance of additional shares may dilute the voting power of holders of Class A Ordinary Shares and Class B Ordinary Shares. However, our Memorandum of Association provides for authorized share capital comprising Class A Ordinary Shares and Class B Ordinary Shares and to the extent the rights attached to any class may be varied, the Company must comply with the provisions in the Memorandum and Articles relating to variations to rights of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of control of our Company or management that shareholders may consider favorable, including provisions that:</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(subject to variation of rights of shares provisions in our Memorandum and Articles);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 Our Memorandum and Articles allow our shareholders holding shares representing in aggregate not less than ten percent of our paid up share capital (as to the total consideration paid for such shares) in issue to requisition an extraordinary general meeting of our shareholders, in which case our directors are obliged to call such meeting and to put the resolutions so requisitioned to a vote at such meeting.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shareholders’ general meetings may be held in such place within or outside the Cayman Islands as our Board of Directors considers appropriate.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However, our Memorandum and Articles provide that we shall hold a general meeting in each year as our annual general meeting other than the year in which the Memorandum and Articles were adopted at such time and place as determined by the directors. The directors may, whenever they think fit, convene an extraordinary general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Our Board of Directors shall give not less than seven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allow our shareholders holding shares representing in aggregate not less than ten percent of our paid up share capital (as to the total consideration paid for such shares) in issue to requisition an extraordinary general meeting of our shareholders, in which case our directors are obliged to call such meeting and to put the resolutions so requisitioned to a vote at such meeting; otherwise, our Memorandum and Articles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an exempted company with limited liability under the Companies Act. The Companies Act distinguishes between ordinary resident companies and exempted companies. A Cayman Islands exempted company:</w:t>
      </w:r>
    </w:p>
    <w:p>
      <w:pPr>
        <w:spacing w:after="0" w:line="162" w:lineRule="exact"/>
        <w:rPr>
          <w:sz w:val="20"/>
          <w:szCs w:val="20"/>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company that conducts its business mainly outside of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certain requirements of the Companies Act, including the filing an annual return of its shareholders with the Registrar of Companies or the Immigration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make its register of members open for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 (subject to the provisions of the Companies 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225" w:lineRule="exact"/>
        <w:rPr>
          <w:sz w:val="20"/>
          <w:szCs w:val="20"/>
          <w:color w:val="auto"/>
        </w:rPr>
      </w:pPr>
    </w:p>
    <w:p>
      <w:pPr>
        <w:ind w:left="980" w:hanging="324"/>
        <w:spacing w:after="0" w:line="282"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are deemed to have legal title to the shares set against their name.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require us to indemnify our officers and directors for actions, proceedings, claims, losses, damages, costs, liabilities and expenses (“Indemnified Losses”) incurred in their capacities as such unless such Indemnified Losses arise from dishonesty of such directors or officers.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Act is modeled after that of English law but does not follow many recent English law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spacing w:after="0" w:line="172"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4" w:name="page245"/>
    <w:bookmarkEnd w:id="2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of the Cayman Islands together with a declaration as to: the solvency of the consolidated or surviving company, the merger or consolidation being bona fide and not intended to defraud creditors, no petition or other proceeding, order or resolution to wind up the Company, no receiver, administrator or similar having been appointed over assets or property and no scheme or other arrangement having been entered into with creditors;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The non-surviving constituent company must have resigned from any fiduciary office held or will do so and each constituent company having complied with any applicable regulatory laws.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would reasonably approve;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5" w:name="page246"/>
    <w:bookmarkEnd w:id="24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As stated above, our Memorandum and Articles permit indemnification of officers and directors for actions, proceedings, claims, losses, damages, costs, liabilities and expenses (“Indemnified Losses”) incurred in their capacities as such unless such losses or damages arise from dishonesty of such directors or officers.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third-party. Our Memorandum and Articles do not disqualify a director from acting or from contacting with the Company as a vendor, purchaser or otherwise provided that it does not adversely affect his or her performance of duties or responsibilities and the nature of the interest is disclosed at the meeting at which the contract or arrangement is considered (if not previously disclosed), and having disclosed such interest the director is not counted in the quorum and must refrain from voting on the contract or arrangement. A director of a Cayman Islands company also owes to the company a duty to exercise the powers for the purpose for which they were given and the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Memorandum and Articles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put any proposal before a general meeting. However, these rights may be provided in articles of association. Our Memorandum and Articles allow our shareholders holding not less than 1/10 of all voting power of our (paid up) share capital in issue to requisition a shareholder’s meeting. Other than this right to requisition a shareholders’ meeting, our Memorandum and Articles do not provide our shareholders other rights to put proposal before a meeting. As an exempted Cayman Islands company, we are not obliged by law to call shareholders’ annual general meetings although our Memorandum and Articles provide for same.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6" w:name="page247"/>
    <w:bookmarkEnd w:id="24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Memorandum and Articles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Memorandum and Articles, directors may be removed with or without cause, by the directors or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 Our Memorandum and Articles, as well as our Code of Business Conduct and Ethics that applies to our officers, directors and employees outlines how to handle these types of transactions and other potential conflicts of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 company may be dissolved, liquidated or wound up by a special resolution of our shareholders; however, under our Memorandum and Articles, only our Directors have power to present a winding up petition in the name of the Company and/or to apply for the appointment of provisional liquidators in respect of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Memorandum and Articles, if our share capital is divided into more than one class of shares, we may vary the rights attached to any class with the consent in writing of the holders of a simple majority of the issued shares of that class or with the sanction of a resolution passed at a meeting of the holders of such class of shares by the holder or holders of a simple majority of such shares present in person or by proxy at such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7" w:name="page248"/>
    <w:bookmarkEnd w:id="247"/>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each of our Memorandum of Association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for Six Months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under Rule 144 as currently in effect, and subject to the terms of any lock-up agreement, commencing 90 days after the closing of the IPO, a person (or persons whose shares are aggregated), including an affiliate, who has beneficially owned our Class A Ordinary Shares for six months or more, including the holding period of any prior owner other than one of our affiliates (i.e.,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spacing w:after="0" w:line="187" w:lineRule="exact"/>
        <w:rPr>
          <w:sz w:val="20"/>
          <w:szCs w:val="20"/>
          <w:color w:val="auto"/>
        </w:rPr>
      </w:pPr>
    </w:p>
    <w:p>
      <w:pPr>
        <w:ind w:left="980" w:hanging="324"/>
        <w:spacing w:after="0"/>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Class A Ordinary Shares then outstanding;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Ordinary Shares on the Nasdaq Capital Market during the four calendar weeks preceding the filing of a notice on Form 144 with respect to the sale.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six-month holding period of Rule 144 does not apply to sales of unrestricted securities. Accordingly, persons who hold unrestricted securities may sell them under the requirements of Rule 144 described above without regard to the six-month holding period, even if they were considered our affiliates at the time of the sale or at any time during the 90 days preceding such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Non-Affiliates for One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the IPO.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prospectus relates to the possible resale from time to time by the Selling Securityholders of any or all of the Class A Ordinary Shares. For additional information regarding the issuance of Class A ordinary shares covered by this prospectus, see the section titled “Recent Events – </w:t>
      </w:r>
      <w:r>
        <w:rPr>
          <w:rFonts w:ascii="Times New Roman" w:cs="Times New Roman" w:eastAsia="Times New Roman" w:hAnsi="Times New Roman"/>
          <w:sz w:val="18"/>
          <w:szCs w:val="18"/>
          <w:i w:val="1"/>
          <w:iCs w:val="1"/>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 Offering and Concurrent Private Placement</w:t>
      </w:r>
      <w:r>
        <w:rPr>
          <w:rFonts w:ascii="Times New Roman" w:cs="Times New Roman" w:eastAsia="Times New Roman" w:hAnsi="Times New Roman"/>
          <w:sz w:val="18"/>
          <w:szCs w:val="18"/>
          <w:color w:val="auto"/>
        </w:rPr>
        <w:t>”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registering the shares of common stock pursuant to the provisions of the Purchase Agreement entered into in October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225" w:lineRule="exact"/>
        <w:rPr>
          <w:sz w:val="20"/>
          <w:szCs w:val="20"/>
          <w:color w:val="auto"/>
        </w:rPr>
      </w:pPr>
    </w:p>
    <w:p>
      <w:pPr>
        <w:ind w:left="980" w:hanging="324"/>
        <w:spacing w:after="0"/>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that the Selling Securityholders beneficially owned prior to the Offering for resale of the shares under this prospectus;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our Class A ordinary shares that may be offered for resale for the account of the Selling Securityholders under this prospectus;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our Class A ordinary shares beneficially owned by the after the Offering of the shares (assuming all of the offered shares are sold by the Selling Securityholders), is based on 6,346,823 Class A Ordinary Shares and 1,796,934 Class B Ordinary Shares.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Selling Securityholders is a broker dealer or an affiliate of a broker dealer. None of the Selling Securityholders has any agreement or understanding to distribute any of the shares being registered.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Selling Securityholder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to</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7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to Offering</w:t>
            </w:r>
            <w:r>
              <w:rPr>
                <w:rFonts w:ascii="Times New Roman" w:cs="Times New Roman" w:eastAsia="Times New Roman" w:hAnsi="Times New Roman"/>
                <w:sz w:val="29"/>
                <w:szCs w:val="29"/>
                <w:b w:val="1"/>
                <w:bCs w:val="1"/>
                <w:color w:val="auto"/>
                <w:w w:val="96"/>
                <w:vertAlign w:val="superscript"/>
              </w:rPr>
              <w:t>(1)</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(3)</w:t>
            </w:r>
          </w:p>
        </w:tc>
        <w:tc>
          <w:tcPr>
            <w:tcW w:w="100" w:type="dxa"/>
            <w:vAlign w:val="bottom"/>
            <w:tcBorders>
              <w:bottom w:val="single" w:sz="8" w:color="CCEEFF"/>
            </w:tcBorders>
          </w:tcPr>
          <w:p>
            <w:pPr>
              <w:spacing w:after="0"/>
              <w:rPr>
                <w:sz w:val="24"/>
                <w:szCs w:val="24"/>
                <w:color w:val="auto"/>
              </w:rPr>
            </w:pPr>
          </w:p>
        </w:tc>
      </w:tr>
      <w:tr>
        <w:trPr>
          <w:trHeight w:val="256"/>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3i, LP</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BPY Limited</w:t>
            </w:r>
            <w:r>
              <w:rPr>
                <w:rFonts w:ascii="Times New Roman" w:cs="Times New Roman" w:eastAsia="Times New Roman" w:hAnsi="Times New Roman"/>
                <w:sz w:val="29"/>
                <w:szCs w:val="29"/>
                <w:color w:val="auto"/>
                <w:vertAlign w:val="superscript"/>
              </w:rPr>
              <w:t>(6)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Lincoln Alternative Strategies LLC</w:t>
            </w:r>
            <w:r>
              <w:rPr>
                <w:rFonts w:ascii="Times New Roman" w:cs="Times New Roman" w:eastAsia="Times New Roman" w:hAnsi="Times New Roman"/>
                <w:sz w:val="29"/>
                <w:szCs w:val="29"/>
                <w:color w:val="auto"/>
                <w:vertAlign w:val="superscript"/>
              </w:rPr>
              <w:t>(7)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Nomis Bay Ltd</w:t>
            </w:r>
            <w:r>
              <w:rPr>
                <w:rFonts w:ascii="Times New Roman" w:cs="Times New Roman" w:eastAsia="Times New Roman" w:hAnsi="Times New Roman"/>
                <w:sz w:val="29"/>
                <w:szCs w:val="29"/>
                <w:color w:val="auto"/>
                <w:vertAlign w:val="superscript"/>
              </w:rPr>
              <w:t>(8)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Augustus Trading LLC</w:t>
            </w:r>
            <w:r>
              <w:rPr>
                <w:rFonts w:ascii="Times New Roman" w:cs="Times New Roman" w:eastAsia="Times New Roman" w:hAnsi="Times New Roman"/>
                <w:sz w:val="29"/>
                <w:szCs w:val="29"/>
                <w:color w:val="auto"/>
                <w:vertAlign w:val="superscript"/>
              </w:rPr>
              <w:t>(9)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Rubinstein</w:t>
            </w:r>
            <w:r>
              <w:rPr>
                <w:rFonts w:ascii="Times New Roman" w:cs="Times New Roman" w:eastAsia="Times New Roman" w:hAnsi="Times New Roman"/>
                <w:sz w:val="29"/>
                <w:szCs w:val="29"/>
                <w:color w:val="auto"/>
                <w:vertAlign w:val="superscript"/>
              </w:rPr>
              <w:t>(10)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Wilson Drive Holdings LLC</w:t>
            </w:r>
            <w:r>
              <w:rPr>
                <w:rFonts w:ascii="Times New Roman" w:cs="Times New Roman" w:eastAsia="Times New Roman" w:hAnsi="Times New Roman"/>
                <w:sz w:val="29"/>
                <w:szCs w:val="29"/>
                <w:color w:val="auto"/>
                <w:vertAlign w:val="superscript"/>
              </w:rPr>
              <w:t>(11)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(10)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380" w:right="40" w:hanging="345"/>
        <w:spacing w:after="0" w:line="282" w:lineRule="auto"/>
        <w:tabs>
          <w:tab w:leader="none" w:pos="3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our outstanding shares (assuming all of the offered shares are sold by the Selling Securityholders).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9" w:name="page250"/>
    <w:bookmarkEnd w:id="249"/>
    <w:p>
      <w:pPr>
        <w:ind w:left="345" w:hanging="345"/>
        <w:spacing w:after="0" w:line="282"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selling securityholder table only, the Offering refers to the resale of the Class A Ordinary Shares by each Selling Securityholder listed above.</w:t>
      </w:r>
    </w:p>
    <w:p>
      <w:pPr>
        <w:spacing w:after="0" w:line="215" w:lineRule="exact"/>
        <w:rPr>
          <w:rFonts w:ascii="Times New Roman" w:cs="Times New Roman" w:eastAsia="Times New Roman" w:hAnsi="Times New Roman"/>
          <w:sz w:val="18"/>
          <w:szCs w:val="18"/>
          <w:color w:val="auto"/>
        </w:rPr>
      </w:pPr>
    </w:p>
    <w:p>
      <w:pPr>
        <w:jc w:val="both"/>
        <w:ind w:left="345" w:right="20" w:hanging="345"/>
        <w:spacing w:after="0" w:line="266"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p>
      <w:pPr>
        <w:spacing w:after="0" w:line="229" w:lineRule="exact"/>
        <w:rPr>
          <w:rFonts w:ascii="Times New Roman" w:cs="Times New Roman" w:eastAsia="Times New Roman" w:hAnsi="Times New Roman"/>
          <w:sz w:val="18"/>
          <w:szCs w:val="18"/>
          <w:color w:val="auto"/>
        </w:rPr>
      </w:pPr>
    </w:p>
    <w:p>
      <w:pPr>
        <w:ind w:left="345" w:hanging="345"/>
        <w:spacing w:after="0"/>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have been rounded up to the nearest one hundredth of one percent.</w:t>
      </w:r>
    </w:p>
    <w:p>
      <w:pPr>
        <w:spacing w:after="0" w:line="279" w:lineRule="exact"/>
        <w:rPr>
          <w:rFonts w:ascii="Times New Roman" w:cs="Times New Roman" w:eastAsia="Times New Roman" w:hAnsi="Times New Roman"/>
          <w:sz w:val="18"/>
          <w:szCs w:val="18"/>
          <w:color w:val="auto"/>
        </w:rPr>
      </w:pPr>
    </w:p>
    <w:p>
      <w:pPr>
        <w:jc w:val="both"/>
        <w:ind w:left="345" w:hanging="345"/>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or indirectly by 3i Management, LLC and 3i, LP. Mr. Tarlow disclaims any beneficial ownership of the securities beneficially owned directly by 3i, LP and indirectly by 3i Management, LLC.</w:t>
      </w:r>
    </w:p>
    <w:p>
      <w:pPr>
        <w:spacing w:after="0" w:line="233" w:lineRule="exact"/>
        <w:rPr>
          <w:rFonts w:ascii="Times New Roman" w:cs="Times New Roman" w:eastAsia="Times New Roman" w:hAnsi="Times New Roman"/>
          <w:sz w:val="18"/>
          <w:szCs w:val="18"/>
          <w:color w:val="auto"/>
        </w:rPr>
      </w:pPr>
    </w:p>
    <w:p>
      <w:pPr>
        <w:jc w:val="both"/>
        <w:ind w:left="345" w:hanging="345"/>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Intracoastal Capital, LLC (“Intracoastal”) is a limited liability company. Mitchell P. Kopin and Daniel B.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address of Intracoastal Capital, LLC is 245 Palm Trail, Delray Beach, Florida 33483.</w:t>
      </w:r>
    </w:p>
    <w:p>
      <w:pPr>
        <w:spacing w:after="0" w:line="233" w:lineRule="exact"/>
        <w:rPr>
          <w:rFonts w:ascii="Times New Roman" w:cs="Times New Roman" w:eastAsia="Times New Roman" w:hAnsi="Times New Roman"/>
          <w:sz w:val="18"/>
          <w:szCs w:val="18"/>
          <w:color w:val="auto"/>
        </w:rPr>
      </w:pPr>
    </w:p>
    <w:p>
      <w:pPr>
        <w:jc w:val="both"/>
        <w:ind w:left="345" w:right="20" w:hanging="345"/>
        <w:spacing w:after="0" w:line="263"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BPY Limited is 145 Adelaide St. West, Suite 400, M5H 4E5, Toronto, Ontario, Canada. Marc Bistricer is the Chief Information Officer of BPY Limited and Murchinson Ltd is the subadvisor of BPY Limited. They have voting and investment power over the securities held by it. Marc Bistricer disclaims beneficial ownership of the shares held by BPY Limited except to the extent of his pecuniary interest, if any, in such shares.</w:t>
      </w: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jc w:val="both"/>
        <w:ind w:left="345" w:right="20" w:hanging="345"/>
        <w:spacing w:after="0" w:line="266"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Temes is the managing member of Lincoln Alternative Strategies LLC (“LAS”), has discretionary authority to vote and dispose of the shares held by LAS and may be deemed to be the beneficial owner of these shares. The address for LAS is 404 Washington Ave. #650, Miami Beach, Florida 33139.</w:t>
      </w:r>
    </w:p>
    <w:p>
      <w:pPr>
        <w:spacing w:after="0" w:line="229" w:lineRule="exact"/>
        <w:rPr>
          <w:rFonts w:ascii="Times New Roman" w:cs="Times New Roman" w:eastAsia="Times New Roman" w:hAnsi="Times New Roman"/>
          <w:sz w:val="18"/>
          <w:szCs w:val="18"/>
          <w:color w:val="auto"/>
        </w:rPr>
      </w:pPr>
    </w:p>
    <w:p>
      <w:pPr>
        <w:jc w:val="both"/>
        <w:ind w:left="345" w:right="20" w:hanging="345"/>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Nomis Bay Ltd. is 145 Adelaide St. West, Suite 400, M5H 4E5, Toronto, Ontario, Canada. Marc Bistricer is the Chief Information Officer of Nomis Bay Ltd. and Murchinson Ltd is the subadvisor of Nomis Bay Ltd. They have voting and investment power over the securities held by it. Marc Bistricer disclaims beneficial ownership of the shares held by Nomis Bay Ltd. except to the extent of his pecuniary interest, if any, in such shares.</w:t>
      </w:r>
    </w:p>
    <w:p>
      <w:pPr>
        <w:spacing w:after="0" w:line="233" w:lineRule="exact"/>
        <w:rPr>
          <w:rFonts w:ascii="Times New Roman" w:cs="Times New Roman" w:eastAsia="Times New Roman" w:hAnsi="Times New Roman"/>
          <w:sz w:val="18"/>
          <w:szCs w:val="18"/>
          <w:color w:val="auto"/>
        </w:rPr>
      </w:pPr>
    </w:p>
    <w:p>
      <w:pPr>
        <w:jc w:val="both"/>
        <w:ind w:left="345" w:hanging="345"/>
        <w:spacing w:after="0" w:line="258"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address of Augustus Trading LLC is 600 Lexington Avenue, 32nd Floor, New York, NY 10022.</w:t>
      </w:r>
    </w:p>
    <w:p>
      <w:pPr>
        <w:spacing w:after="0" w:line="237" w:lineRule="exact"/>
        <w:rPr>
          <w:rFonts w:ascii="Times New Roman" w:cs="Times New Roman" w:eastAsia="Times New Roman" w:hAnsi="Times New Roman"/>
          <w:sz w:val="18"/>
          <w:szCs w:val="18"/>
          <w:color w:val="auto"/>
        </w:rPr>
      </w:pPr>
    </w:p>
    <w:p>
      <w:pPr>
        <w:jc w:val="both"/>
        <w:ind w:left="345" w:right="20" w:hanging="345"/>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is affiliated with H.C. Wainwright &amp; Co., LLC, a registered broker dealer with a registered address of H.C. Wainwright &amp; Co., LLC, 430 Park Ave, 3rd Floor, New York, NY 10022, and has the voting and dispositive power over the securities held. The securities were acquired in the ordinary course of business and, at the time the securities were acquired, the Selling Stockholder had no agreement or understanding, directly or indirectly, with any person to distribute such securities.</w:t>
      </w:r>
    </w:p>
    <w:p>
      <w:pPr>
        <w:spacing w:after="0" w:line="233" w:lineRule="exact"/>
        <w:rPr>
          <w:rFonts w:ascii="Times New Roman" w:cs="Times New Roman" w:eastAsia="Times New Roman" w:hAnsi="Times New Roman"/>
          <w:sz w:val="18"/>
          <w:szCs w:val="18"/>
          <w:color w:val="auto"/>
        </w:rPr>
      </w:pPr>
    </w:p>
    <w:p>
      <w:pPr>
        <w:jc w:val="both"/>
        <w:ind w:left="345" w:hanging="345"/>
        <w:spacing w:after="0" w:line="255"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held by Wilson Drive Holdings LLC with a registered address of 600 Lexington Avenue, 32nd Floor, New York, NY 10022. Craig Schwabe is the managing member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 Mr. Schwabe has not held any position or office or has had any other material relationship with the Company (or its predecessors or affiliates) during the past three years.</w:t>
      </w:r>
    </w:p>
    <w:p>
      <w:pPr>
        <w:spacing w:after="0" w:line="200" w:lineRule="exact"/>
        <w:rPr>
          <w:sz w:val="20"/>
          <w:szCs w:val="20"/>
          <w:color w:val="auto"/>
        </w:rPr>
      </w:pPr>
    </w:p>
    <w:p>
      <w:pPr>
        <w:spacing w:after="0" w:line="2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5"/>
          </w:cols>
          <w:pgMar w:left="355" w:top="904" w:right="35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Securityholders of the securities and any of their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or negotiated prices. The Selling Securityholders may use any one or more of the following methods when selling securities:</w:t>
      </w:r>
    </w:p>
    <w:p>
      <w:pPr>
        <w:spacing w:after="0" w:line="180" w:lineRule="exact"/>
        <w:rPr>
          <w:sz w:val="20"/>
          <w:szCs w:val="20"/>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shares may be deemed to be “underwriters” within the meaning of the Securities Act in connection with such sales. In such event, they will be subject to the prospectus delivery requirements of the Securities Act, any commissions received by such broker-dealers or agents and any profit on the resale of the shares purchased by them may be deemed to be underwriting commissions or discounts under the Securities Act. The Selling Securityholders has informed us that it does not have any agreement or understanding, directly or indirectly, with any person to distribute the Class A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1" w:name="page252"/>
    <w:bookmarkEnd w:id="2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required to amend or supplement this prospectus in the event that (a) a Selling Securityholder transfers securities under conditions which require the purchaser or transferee to be named in the prospectus as a selling shareholder, in which case we will be required to amend or supplement this prospectus to name the selling shareholder, or (b) the selling shareholder sells shares to an underwriter, in which case we will be required to amend or supplement this prospectus to name the underwriter and the method of sale.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paying all fees and expenses incident to the registration of the shares. We have agreed to indemnify the Selling Securityholders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certain Cayman Islands and U.S. federal income tax consequences of the acquisition, ownership and disposition of Class A Ordinary Shares. Please note that this summary should not be considered a comprehensive description of all the tax considerations that may be relevant to the decision to purchase Class A Ordinary Shares. The summary is based upon the tax laws of the Cayman Islands and regulations thereunder and on the tax laws of the United States and regulations thereunder as of the date hereof, which are subject to change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2" w:name="page253"/>
    <w:bookmarkEnd w:id="25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our Class A Ordinary Shares except on instruments executed in, or brought within, the jurisdiction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brief description of the material U.S. federal income tax consequences to U.S. Holders (as defined below) of purchasing, owning and disposing of Class A Ordinary Shares. It is not a comprehensive description of all U.S. federal income tax considerations that may be relevant to a particular person’s decision to acquire Class A Ordinary Shares. This discussion applies only to a U.S. Holder that holds a Class A Ordinary Share as a capital asset for U.S. federal income tax purposes (generally, property held for investment). In addition, it does not describe all of the tax consequences that may be relevant in light of a U.S. Holder’s particular circumstances, including state and local tax consequences, non-U.S. tax consequences, federal estate or gift tax consequences, alternative minimum tax consequences, the potential application of the provisions of the Code known as the Medicare Contribution Tax, and tax consequences applicable to U.S. Holders subject to special rules, such as:</w:t>
      </w:r>
    </w:p>
    <w:p>
      <w:pPr>
        <w:spacing w:after="0" w:line="189" w:lineRule="exact"/>
        <w:rPr>
          <w:sz w:val="20"/>
          <w:szCs w:val="20"/>
          <w:color w:val="auto"/>
        </w:rPr>
      </w:pPr>
    </w:p>
    <w:p>
      <w:pPr>
        <w:ind w:left="980" w:hanging="320"/>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as part of a hedging transaction, “straddle,” wash sale, conversion transaction or integrated transaction or persons entering into a constructive sale with respect to the Class A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entities, including “individual retirement accounts” and “Roth IRAs”;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Class A Ordinary Shares pursuant to the exercise of an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in connection with a trade or business conducted outside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Class A Ordinary Shares, the U.S. federal income tax treatment of such partnership and each partner thereof will generally depend on the status of the partner and the activities of the partnership. Partnerships holding Class A Ordinary Shares and partners in such partnerships are encouraged to consult their tax advisors as to the particular U.S. federal income tax consequences of purchasing, holding and disposing of Class A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3" w:name="page254"/>
    <w:bookmarkEnd w:id="2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discussion is based on the Internal Revenue Code of 1986, as amended (the “Code”), the Treasury Regulations issued thereunder, and administrative and judicial interpretations thereof, all as in effect on the date hereof and all of which are subject to change, possibly with retroactive effect, or to different interpretation. Such change could materially and adversely affect the tax consequences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brief discussion, a “U.S. Holder” is a holder who, for U.S. federal income tax purposes, is a beneficial owner of Class A Ordinary Shares or warrants and that is:</w:t>
      </w:r>
    </w:p>
    <w:p>
      <w:pPr>
        <w:spacing w:after="0" w:line="162" w:lineRule="exact"/>
        <w:rPr>
          <w:sz w:val="20"/>
          <w:szCs w:val="20"/>
          <w:color w:val="auto"/>
        </w:rPr>
      </w:pPr>
    </w:p>
    <w:p>
      <w:pPr>
        <w:ind w:left="980" w:hanging="320"/>
        <w:spacing w:after="0"/>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its administration and one or more “U.S. persons” (within the meaning of the Code) have the authority to control all of its substantial decisions, or (ii) if a valid election is in effect for the trust to be treated as a U.S.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Holders are encouraged to consult their tax advisors concerning the U.S. federal, state, local and foreign tax consequences of purchasing, owning and disposing of Class A Ordinary Shares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discussion below under “Passive Foreign Investment Company (PFIC) Rules,” a U.S. Holder will be required to include in gross income as dividend income the gross amount of any distributions paid on Class A Ordinary Shares (including any amount of taxes withheld),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Class A Ordinary Shares, to the extent paid out of our current or accumulated earnings and profits (as determined under U.S. federal income tax principles). Distributions in excess of our current and accumulated earnings and profits would be treated as a non-taxable return of capital to the extent of the U.S. Holder’s adjusted tax basis in the Class A Ordinary Shares and thereafter as a gain from the sale of the Class A Ordinary Shares. However, because we do not calculate our earnings and profits under U.S. federal income tax principles, we expect that distributions generally will be reported to U.S. Holders as dividends.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of a U.S. Holder that is a corporation, dividends paid on the Class A Ordinary Shares will be subject to regular corporate rates and will not be eligible for the “dividends received” deduction generally allowed to corporate shareholders with respect to dividends received from U.S. corporations.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not an income tax treaty between the United States and the Cayman Island,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Capital Market. You are urged to consult your tax advisors regarding the availability of the lower rate for dividends paid with respect to our Class A Ordinary Shares, including the effects of any change in law after the date of this prospectus.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4" w:name="page255"/>
    <w:bookmarkEnd w:id="25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may be eligible, subject to a number of complex limitations, to claim a foreign tax credit in respect of any foreign withholding taxes imposed on dividends received on the Class A Ordinary Shares. A U.S. Holder who does not elect to claim a foreign tax credit for foreign income tax withheld may instead claim a deduction for U.S. federal income tax purposes in respect of such withholding, but only for a year in which such investor elects to do so for all creditable foreign income taxes. For purposes of calculating the foreign tax credit limitation, dividends paid by us will, depending on the circumstances of the U.S. Holder, be either general or passive income.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do not expect to pay dividends in the near future, in the event any dividends are paid and if a dividend is paid in non-U.S. currency, it must be included in a U.S. Holder’s income as a U.S. dollar amount based on the exchange rate in effect on the date such dividend is actually or constructively received, regardless of whether the dividend is in fact converted into U.S. dollars. If the dividend is converted to U.S. dollars on the date of receipt, a U.S. Holder generally will not recognize a foreign currency gain or loss. If the non-U.S. currency is converted into U.S. dollars on a later date, however, the U.S. Holder must include in income any gain or loss resulting from any exchange rate fluctuations. Such gain or loss will generally be ordinary income or loss and will be from sources within the United States for foreign tax credit limitation purposes. U.S. Holders should consult their own tax advisors regarding the tax consequences to them if we pay dividends in non-U.S.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(PFIC) Rules,” gain or loss realized on the sale or other taxable disposition of Class A Ordinary Shares and warrants will be capital gain or loss, and will be long-term capital gain or loss if the U.S. Holder held the Class A Ordinary Shares for more than one year. The amount of the gain or loss will equal the difference between the U.S. Holder’s tax basis in the Class A Ordinary Shares disposed of and the amount realized on the disposition. Long-term capital gain of a non-corporate U.S. Holder is generally taxed at preferential rates. This gain or loss will generally be U.S.-source gain or loss for foreign tax credit purposes. The deductibility of capital losses is subject to limitations. U.S. Holders are urged to consult their tax advisors regarding the tax consequences if a foreign tax is imposed on the disposition of Class A Ordinary Shares, including the availability of the foreign tax credit under an investor’s own particular circumstances.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that receives non-U.S. currency on the disposition of the Class A Ordinary Shares will realize an amount equal to the U.S. dollar value of the foreign currency received on the date of disposition (or in the case of cash basis and electing accrual basis taxpayers, the settlement date) whether or not converted into U.S. dollars at that time. Generally, the U.S. Holder will recognize currency gain or loss if the U.S. dollar value of the currency received on the settlement date differs from the amount realized with respect to the Class A Ordinary Shares. Any currency gain or loss on the settlement date or on any subsequent disposition of the foreign currency generally will be U.S.-source ordinary income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(PFIC) Rules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Special U.S. federal income tax rules apply to a U.S. Holder that holds stock in a foreign corporation classified as a PFIC for U.S. federal income tax purposes. In general, a non-U.S. corporation will be classified as a PFIC for any taxable year in which, after applying certain look-through rules, either:</w:t>
      </w:r>
    </w:p>
    <w:p>
      <w:pPr>
        <w:spacing w:after="0" w:line="162" w:lineRule="exact"/>
        <w:rPr>
          <w:sz w:val="20"/>
          <w:szCs w:val="20"/>
          <w:color w:val="auto"/>
        </w:rPr>
      </w:pPr>
    </w:p>
    <w:p>
      <w:pPr>
        <w:ind w:left="980" w:hanging="324"/>
        <w:spacing w:after="0" w:line="282" w:lineRule="auto"/>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(e.g., dividends, interest, capital gains and rents derived other than in the active conduct of a rental business);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gross assets (determined on the basis of a quarterly average) is attributable to assets that produce passive income or are held for the production of passive income.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be treated as owning our proportionate share of the assets and earning our proportionate share of the income of any other corporation in which we own, directly or indirectly, 25% or more (by value) of the equity.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separate determination must be made after the close of each taxable year as to whether we are a PFIC for that year. As a result, our PFIC status may change. In particular, the total value of our assets generally will be calculated using the market price of our Class A Ordinary Shares, which may fluctuate considerably. Fluctuations in the market price of our Class A Ordinary Shares may result in our being a PFIC for any taxable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5" w:name="page256"/>
    <w:bookmarkEnd w:id="2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amount of restricted and unrestricted cash and investments that we had on hand during our year ending December 31, 2024, we believe that we were classified as a PFIC for that tax year. Depending on the future composition and value of our assets, we may be classified as a PFIC for future years.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continue to be classified as a PFIC, a U.S. Holder would be subject to different taxation rules depending on whether the U.S. Holder (i) takes no action, (ii) makes an election to treat us as a “Qualified Electing Fund” (a “QEF election”) or (iii) if permitted, makes a “mark-to-market” election with respect to our Class A Ordinary Shares. A U.S. Holder of our Class A Ordinary Shares will also be required under applicable Treasury Regulations to file an annual information return (Form 8621) containing information regarding our company. Additional explanations of the PFIC rules are set forth below: this material is complex and may affect different U.S. Holders differently. Accordingly, U.S. Holders should consult their own tax advisors about the consequences of our company being classified as a PFIC and about what steps, if any, they might take to lessen the tax impact of our PFIC status on them.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who does not make a timely QEF or mark-to-market election (a “Non-Electing Holder”), as discussed below, will be subject to special tax rules with respect to any “excess distribution” that you receive and any gain you realize from a sale or other disposition (including a pledge) of Class A Ordinary Shares.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spacing w:after="0" w:line="183" w:lineRule="exact"/>
        <w:rPr>
          <w:sz w:val="20"/>
          <w:szCs w:val="20"/>
          <w:color w:val="auto"/>
        </w:rPr>
      </w:pPr>
    </w:p>
    <w:p>
      <w:pPr>
        <w:ind w:left="980" w:hanging="324"/>
        <w:spacing w:after="0"/>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Class A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will be treated as ordinary income;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should be noted that, until such time as we make a distribution, there are no tax consequences to Non-Electing Holders. However, if we ever did make a distribution it would in all likelihood be an excess distribution (because we would not have previously made any distributions to holders of Class A Ordinary Shares). At that point, and for all subsequent distributions, the rules described above would apply to Non-Electing Holders. 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Ordinary Shares as capital assets.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U.S. Holder of stock in a PFIC may make a “qualified electing fund (QEF)”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QEF election is available with respect to any year that we are a PFIC by filing IRS Form 8621 with its U.S. federal income tax return. This election must be made by the deadline (including extensions) for filing the U.S. Holder’s federal tax return for the year in question. U.S. Holders should discuss their election alternatives with their own tax advisors. Once an election is made, the Electing Holder is subject to the QEF rules for as long as we are a PFIC.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 alternative to making a QEF election, a U.S. Holder may make a “mark-to-market” election with respect to our Class A Ordinary Shares provided our Class A Ordinary Shares are treated as “marketable stock.” The Class A Ordinary Shares generally will be treated as marketable stock if they are regularly traded on a “qualified exchange or other market” (within the meaning of applicable Treasury Regulations) on at least 15 days during each calendar quarter (other than in de minimis amounts).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6" w:name="page257"/>
    <w:bookmarkEnd w:id="25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U.S. Holder makes an effective mark-to-market election, for each taxable year that we are a PFIC, the U.S. Holder will include as ordinary income the excess of the fair market value of its Class A Ordinary Shares at the end of the year over its adjusted tax basis in the Class A Ordinary Shares. You will be entitled to deduct as an ordinary loss in each such year the excess of your adjusted tax basis in the Class A Ordinary Shares over their fair market value at the end of the year, but only to the extent of the net amount previously included in income as a result of the mark-to-market election. A U.S. Holder’s adjusted tax basis in the Class A Ordinary Shares will be increased by the amount of any income inclusion and decreased by the amount of any deductions under the mark-to-market rules. In addition, upon the sale or other disposition of your Class A Ordinary Shares in a year that we are PFIC, any gain will be treated as ordinary income and any loss will be treated as ordinary loss, but only to the extent of the net amount of previously included income as a result of the mark-to-market election.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makes a mark-to-market election, it will be effective for the taxable year for which the election is made and all subsequent taxable years unless the Class A Ordinary Shares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Class A Ordinary Shares are regularly traded on NASDAQ and if you are a holder of Class A Ordinary Shares, the mark-to-market election would be available to you were we to be or become a PFIC.</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advisors regarding the application of the PFIC rules to your investment in our Class A Ordinary Shares and the elections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U.S. Holders may be required to report information relating to the Class A Ordinary Shares, subject to certain exceptions (including an exception for Class A Ordinary Shares held in accounts maintained by certain U.S. financial institutions). U.S. Holders should consult their tax advisors regarding their reporting obligations with respect to their purchase, ownership and disposition of the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Domestication and the 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(i) the Domestication and (ii) the DiamiR Merger to the U.S. This discussion is based upon laws and relevant interpretations thereof in effect as of the date of this prospectus, all of which are subject to change.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discussion below of the U.S. federal income tax consequences to “U.S. Holders” will apply to a beneficial owner of Company shares that is for U.S. federal income tax purposes:</w:t>
      </w:r>
    </w:p>
    <w:p>
      <w:pPr>
        <w:spacing w:after="0" w:line="162" w:lineRule="exact"/>
        <w:rPr>
          <w:sz w:val="20"/>
          <w:szCs w:val="20"/>
          <w:color w:val="auto"/>
        </w:rPr>
      </w:pPr>
    </w:p>
    <w:p>
      <w:pPr>
        <w:ind w:left="980" w:hanging="324"/>
        <w:spacing w:after="0"/>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spacing w:after="0" w:line="180" w:lineRule="exact"/>
        <w:rPr>
          <w:sz w:val="20"/>
          <w:szCs w:val="20"/>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the mark-to-market accounting rules under Section 475 of the Code;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8" w:name="page259"/>
    <w:bookmarkEnd w:id="258"/>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(except as specifically provided below);</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(5%) or more of Company shares or voting securities (except as specifically provided below);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Company shares pursuant to an exercise of employee options, in connection with employee incentive plans or otherwise as compensation;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Company shares as part of a straddle, constructive sale, hedging, redemption or other integrated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Consequences of the Domestication to U.S. Holders of Aptorum Shares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meets all of these requirements.</w:t>
      </w:r>
    </w:p>
    <w:p>
      <w:pPr>
        <w:spacing w:after="0" w:line="18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1.368-2(m)(2) provides: “A continuity of the business enterprise and a continuity of interest are not required for a potential F reorganization to qualify as a reorganization under section 368(a)(1)(F).”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spacing w:after="0" w:line="19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0" w:name="page261"/>
    <w:bookmarkEnd w:id="260"/>
    <w:p>
      <w:pPr>
        <w:ind w:left="660"/>
        <w:spacing w:after="0"/>
        <w:rPr>
          <w:sz w:val="20"/>
          <w:szCs w:val="20"/>
          <w:color w:val="auto"/>
        </w:rPr>
      </w:pPr>
      <w:r>
        <w:rPr>
          <w:rFonts w:ascii="Times New Roman" w:cs="Times New Roman" w:eastAsia="Times New Roman" w:hAnsi="Times New Roman"/>
          <w:sz w:val="17"/>
          <w:szCs w:val="17"/>
          <w:color w:val="auto"/>
        </w:rPr>
        <w:t>Subject to the discussions of the Section 367 rules and the PFIC rules, below, it is therefore the opinion of our counsel that the consequences of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Domestication exchange are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U.S. Holder of Company shares will not recognize a gain or loss on the exchange of his Company shares for Purchaser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U.S. Holder’s tax basis in his Purchaser stock will be the same as his adjusted basis in his Company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exchange, the U.S. Holder’s holding period in his Purchaser stock will include the period of time that he held his Company shares.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Section 367 on the Domestication for U.S. Holders of Company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“U.S. Shareholders” of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Times New Roman" w:cs="Times New Roman" w:eastAsia="Times New Roman" w:hAnsi="Times New Roman"/>
          <w:sz w:val="18"/>
          <w:szCs w:val="18"/>
          <w:i w:val="1"/>
          <w:iCs w:val="1"/>
          <w:color w:val="auto"/>
        </w:rPr>
        <w:t>“Tax Consequences of the Disposition”</w:t>
      </w:r>
      <w:r>
        <w:rPr>
          <w:rFonts w:ascii="Times New Roman" w:cs="Times New Roman" w:eastAsia="Times New Roman" w:hAnsi="Times New Roman"/>
          <w:sz w:val="18"/>
          <w:szCs w:val="18"/>
          <w:color w:val="auto"/>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1" w:name="page262"/>
    <w:bookmarkEnd w:id="2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U.S. Holders Who Own Less Than 10 Percent of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 and generally must include, among other things: (i) a statement that the Domestication is a Section 367(b) exchange;</w:t>
      </w:r>
    </w:p>
    <w:p>
      <w:pPr>
        <w:spacing w:after="0" w:line="1" w:lineRule="exact"/>
        <w:rPr>
          <w:sz w:val="20"/>
          <w:szCs w:val="20"/>
          <w:color w:val="auto"/>
        </w:rPr>
      </w:pPr>
    </w:p>
    <w:p>
      <w:pPr>
        <w:jc w:val="both"/>
        <w:ind w:firstLine="8"/>
        <w:spacing w:after="0" w:line="251"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 (vi) 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2" w:name="page263"/>
    <w:bookmarkEnd w:id="262"/>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the discussion below, </w:t>
      </w:r>
      <w:r>
        <w:rPr>
          <w:rFonts w:ascii="Times New Roman" w:cs="Times New Roman" w:eastAsia="Times New Roman" w:hAnsi="Times New Roman"/>
          <w:sz w:val="18"/>
          <w:szCs w:val="18"/>
          <w:i w:val="1"/>
          <w:iCs w:val="1"/>
          <w:color w:val="auto"/>
        </w:rPr>
        <w:t>“Effect of the PFIC Rules on the Domestication”</w:t>
      </w:r>
      <w:r>
        <w:rPr>
          <w:rFonts w:ascii="Times New Roman" w:cs="Times New Roman" w:eastAsia="Times New Roman" w:hAnsi="Times New Roman"/>
          <w:sz w:val="18"/>
          <w:szCs w:val="18"/>
          <w:color w:val="auto"/>
        </w:rPr>
        <w:t xml:space="preserve"> for an explanation of when amounts taken into account under Code section 367(b) should be reduced by amounts required to be taken into account under proposed Treasury regulations addressing the PFIC rules.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spacing w:after="0" w:line="172" w:lineRule="exact"/>
        <w:rPr>
          <w:sz w:val="20"/>
          <w:szCs w:val="20"/>
          <w:color w:val="auto"/>
        </w:rPr>
      </w:pPr>
    </w:p>
    <w:p>
      <w:pPr>
        <w:jc w:val="center"/>
        <w:ind w:right="768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the PFIC Rules on the Domestication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Aptorum’s status as a PFIC.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Aptorum does not own an equity interest in its VIE. Instead, through another wholly-owned subsidiary, it controls and receives the economic benefits of the VIE’s and its subsidiaries’ business operations through a series of contractual arrangements which are designed to provide Aptorum with the power, rights and obligations equivalent in all material respects to those it would possess as the sole equity holder of the VIE, including absolute control rights and the rights to the assets, property and revenue of the VIE.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no authority as to whether such an arrangement constitutes ownership of the VIE by Aptorum for purposes of U.S. federal income tax law. While its contractual arrangements with the VIE would seem to give Aptorum an ownership interest in the VIE as a practical matter, there is no assurance that the IRS or a U.S. court would determine that such ownership interest in fact exists. Accordingly, there can be no assurance that Aptorum will not be treated as a PFIC.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PFIC rules on the Domestication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the Domestication qualifies as a “reorganization” within the meaning of Code section 368(a)(1)(F), the Domestication may be a taxable event to U.S. Holders of Aptorum shares under the PFIC rules to the extent that Section 1291(f) of the Code applies.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3" w:name="page264"/>
    <w:bookmarkEnd w:id="2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w:t>
      </w:r>
    </w:p>
    <w:p>
      <w:pPr>
        <w:spacing w:after="0" w:line="1" w:lineRule="exact"/>
        <w:rPr>
          <w:sz w:val="20"/>
          <w:szCs w:val="20"/>
          <w:color w:val="auto"/>
        </w:rPr>
      </w:pPr>
    </w:p>
    <w:p>
      <w:pPr>
        <w:jc w:val="both"/>
        <w:ind w:firstLine="8"/>
        <w:spacing w:after="0" w:line="253" w:lineRule="auto"/>
        <w:tabs>
          <w:tab w:leader="none" w:pos="22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with distributions pursuant to the Disposition, The foregoing tax effects of PFIC status on the Domestication would be different if any U.S. Holder has, during his ownership 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U.S. HOLDERS ARE STRONGLY URGED TO CONSULT THEIR TAX ADVISORS REGARDING THE U.S. FEDERAL, STATE, LOCAL AND FOREIGN TAX CONSEQUENCES OF THE DOMESTICATION AND ITS APPLICATION TO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t>EXPENSES OF THIS OFFERING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our total expenses, which are expected to be incurred in connection with the offer and sale of the Class A Ordinary Shares by us. With the exception of the SEC registration fee, all amounts are estimates.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573.12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professional fees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Placement agent’s fee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Class A Ordinary Shares being offered by this prospectus and other legal matters relating to Cayman Islands law will be passed upon for the Company by Campbells. Certain legal matters with respect to the United States federal securities law and New York law will be passed upon for the Company by Hunter Taubman Fischer &amp; Li LLC,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incorporated by referenced in this prospectus have been so included in reliance on the report (which contains an explanatory paragraph relating to the Company’s ability to continue as a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 described in Note 2 to the financial statements) of Marcum Asia CPAs LLP, an independent registered public accounting firm given on the authority of such firm as experts in accounting and auditing.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balance sheet of DiamiR Biosciences Corp. as of May 31, 2025, and the related consolidated statements of operations, changes in stockholders’ deficit and cash flows for the year ended May 31, 2025, included herein,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balance sheet of DiamiR Biosciences Corp. as of May 31, 2024, and the related consolidated statements of operations, changes in stockholders’ deficit and cash flows for the year ended May 31, 2024, included herein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incorporated in the Cayman Islands because of certain benefits associated with being a Cayman Islands corporation, such as political and economic stability, an effective judicial system, a favorable tax system, the absence of foreign exchange control or currency restrictions and the availability of professional and support services. However, the Cayman Islands have a less developed body of securities laws that provide significantly less protection to investors as compared to the securities laws of the United States. In addition, Cayman Islands companies may not have standing to sue before the federal courts of the United States.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assets are located outside the United States. In addition, some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our directors and officers,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our local Cayman Islands’ counsel, there is uncertainty with regard to Cayman Islands law relating to whether a judgment obtained from the United States, United Kingdom or Hong Kong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The courts of the Cayman Islands in the past determined that disgorgement proceedings brought at the instance of the Securities and Exchange Commission are penal or punitive in nature and such judgments would not be enforceable in the Cayman Islands. Other civil liability provisions of the securities laws may be characterized as remedial, and therefore enforceable but the Cayman Islands’ Courts have not yet ruled in this regard. Our Cayman Islands’ counsel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no treaty or other form of reciprocity exists between the Cayman Islands and United Kingdom and/or Hong Kong governing the recognition and enforcement of judgments.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Cayman Islands’ counsel further advised that although there is no statutory enforcement in the Cayman Islands of judgments obtained in the United States, United Kingdom or Hong Kong, a judgment obtained in such jurisdictions will be recognized and enforced in the courts of the Cayman Islands at common law, without any re-examination of the merits of the underlying dispute, by an action commenced on the foreign judgment debt in the Grand Court of the Cayman Islands, provided such judgment (1) is given by a foreign court of competent jurisdiction, (2) imposes on the judgment debtor a liability to pay a liquidated sum for which the judgment has been given, (3) is final, (4) is not in respect of taxes, a fine or a penalty, and (5) was not obtained in a manner and is of a kind the enforcement of which is contrary to natural justice or the public policy of the Cayman Islands.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 a registration statement on Form F-1 under the Securities Act relating to this Offering of our Class A Ordinary Shares. This prospectus, which constitutes a part of the registration statement, does not contain all of the information contained in the registration statement or the exhibits and schedules filed therewith. The rules and regulations of the SEC allow the Company to omit certain information from this prospectus that is included in the registration statement. Statements contained in this prospectus regarding the contents of any contract, agreement or other document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including this registration statement, that file electronically with the SEC. The address is www.sec.gov.</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the information reporting requirements of the Exchange Act that are applicable to foreign private issuers, and under those requirements file reports with the SEC. Those other reports or other information may be inspected without charge at the location or website described above. As a foreign private issuer, the Company will be exempt from the rules under the Exchange Act related to the furnishing and content of proxy statements, and the Company’s officers, directors and principal shareholders will be exempt from the reporting and short-swing profit recovery provisions contained in Section 16 of the Exchange Act. In addition, the Company will not be required under the Exchange Act to file annual, quarterly and current reports and financial statements with the SEC as frequently or as promptly as U.S. companies whose securities are registered under the Exchange Act. However, the Company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interim financial information for the first six months of each fiscal year.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corporate website at www.aptorumgroup.com. Information contained on, or that can be accessed through, the Company’s website does not constitute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225" w:lineRule="exact"/>
        <w:rPr>
          <w:sz w:val="20"/>
          <w:szCs w:val="20"/>
          <w:color w:val="auto"/>
        </w:rPr>
      </w:pPr>
    </w:p>
    <w:p>
      <w:pPr>
        <w:ind w:left="980" w:right="20" w:hanging="320"/>
        <w:spacing w:after="0" w:line="282" w:lineRule="auto"/>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33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27, 2026, which contains our audited consolidated financial statements for the most recent fiscal year for which those statements have been filed;</w:t>
      </w:r>
    </w:p>
    <w:p>
      <w:pPr>
        <w:spacing w:after="0" w:line="161" w:lineRule="exact"/>
        <w:rPr>
          <w:rFonts w:ascii="Times New Roman" w:cs="Times New Roman" w:eastAsia="Times New Roman" w:hAnsi="Times New Roman"/>
          <w:sz w:val="18"/>
          <w:szCs w:val="18"/>
          <w:color w:val="auto"/>
        </w:rPr>
      </w:pPr>
    </w:p>
    <w:p>
      <w:pPr>
        <w:ind w:left="980" w:hanging="320"/>
        <w:spacing w:after="0" w:line="282" w:lineRule="auto"/>
        <w:tabs>
          <w:tab w:leader="none" w:pos="980" w:val="left"/>
        </w:tabs>
        <w:numPr>
          <w:ilvl w:val="0"/>
          <w:numId w:val="159"/>
        </w:numPr>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auto"/>
          </w:rPr>
          <w:t xml:space="preserve">the Company’s Current Reports on Form 6-K and 6-K/A, filed with the SEC on </w:t>
        </w:r>
        <w:r>
          <w:rPr>
            <w:rFonts w:ascii="Times New Roman" w:cs="Times New Roman" w:eastAsia="Times New Roman" w:hAnsi="Times New Roman"/>
            <w:sz w:val="18"/>
            <w:szCs w:val="18"/>
            <w:u w:val="single" w:color="auto"/>
            <w:color w:val="0000EE"/>
          </w:rPr>
          <w:t>January 22,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334">
        <w:r>
          <w:rPr>
            <w:rFonts w:ascii="Times New Roman" w:cs="Times New Roman" w:eastAsia="Times New Roman" w:hAnsi="Times New Roman"/>
            <w:sz w:val="18"/>
            <w:szCs w:val="18"/>
            <w:u w:val="single" w:color="auto"/>
            <w:color w:val="0000EE"/>
          </w:rPr>
          <w:t>14, 2026</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980" w:right="20" w:hanging="320"/>
        <w:spacing w:after="0" w:line="282" w:lineRule="auto"/>
        <w:tabs>
          <w:tab w:leader="none" w:pos="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33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14, 2018, including any amendments and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provide a copy of the documents we incorporate by reference, at no cost, to any person who receives this prospectus. To request a copy of any or all of these documents, you should write or telephone us at 17 Hanover Square, London W1S 1BN, United Kingdom, Attention: Ian Huen, Chief Executive Officer, +44 20 80929299. Additionally, copies of the documents incorporated herein by reference may be accessed at our website at www.aptorumgroup.com. The reference to our website address does not constitute incorporation by reference of the information contained on or accessible through our website, and you should not consider the contents of our website in making an investment decision with respect to our Class A Ordinary Shares.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Offering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deducting fees due to the Placement Agent and offering expenses, the net proceeds from the October 2025 Offering were approximately $1.716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9" w:name="page270"/>
    <w:bookmarkEnd w:id="2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2025, combines the historical consolidated balance sheet of Aptorum as of December 31, 2025 with the historical balance sheet of DiamiR as of November 30, 2025 giving further effect to the pro forma adjustments described in Note (i) to the “</w:t>
      </w:r>
      <w:r>
        <w:rPr>
          <w:rFonts w:ascii="Times New Roman" w:cs="Times New Roman" w:eastAsia="Times New Roman" w:hAnsi="Times New Roman"/>
          <w:sz w:val="18"/>
          <w:szCs w:val="18"/>
          <w:i w:val="1"/>
          <w:iCs w:val="1"/>
          <w:color w:val="auto"/>
        </w:rPr>
        <w:t>Notes To The Unaudited Pro Forma Consolidated Combined Financial Information”</w:t>
      </w:r>
      <w:r>
        <w:rPr>
          <w:rFonts w:ascii="Times New Roman" w:cs="Times New Roman" w:eastAsia="Times New Roman" w:hAnsi="Times New Roman"/>
          <w:sz w:val="18"/>
          <w:szCs w:val="18"/>
          <w:color w:val="auto"/>
        </w:rPr>
        <w:t xml:space="preserve"> included in this prospectus, as if they had been consummated as of December 31,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 ended May 31, 2025), giving effect to the pro forma adjustments described in Note (i) to the “</w:t>
      </w:r>
      <w:r>
        <w:rPr>
          <w:rFonts w:ascii="Times New Roman" w:cs="Times New Roman" w:eastAsia="Times New Roman" w:hAnsi="Times New Roman"/>
          <w:sz w:val="18"/>
          <w:szCs w:val="18"/>
          <w:i w:val="1"/>
          <w:iCs w:val="1"/>
          <w:color w:val="auto"/>
        </w:rPr>
        <w:t>Notes To The Unaudited Pro Forma Consolidated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included in this prospectus, as if they had been consummated on January 1, 2025, the beginning of the earliest period presented.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consolidated combined financial statements have been derived from and should be read in connection with:</w:t>
      </w:r>
    </w:p>
    <w:p>
      <w:pPr>
        <w:spacing w:after="0" w:line="225" w:lineRule="exact"/>
        <w:rPr>
          <w:sz w:val="20"/>
          <w:szCs w:val="20"/>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consolidated combined 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historical audited consolidated financial statements of Aptorum as of and for the year ended December 31, 2025 and the related notes disclosed in the 2025 </w:t>
      </w:r>
      <w:hyperlink r:id="rId333">
        <w:r>
          <w:rPr>
            <w:rFonts w:ascii="Times New Roman" w:cs="Times New Roman" w:eastAsia="Times New Roman" w:hAnsi="Times New Roman"/>
            <w:sz w:val="18"/>
            <w:szCs w:val="18"/>
            <w:u w:val="single" w:color="auto"/>
            <w:color w:val="0000EE"/>
          </w:rPr>
          <w:t>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27, 2026;</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DiamiR as of and for the year ended May 31, 2025 and the related notes included this prospectus;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historical unaudited financial statements of DiamiR as of and for the six months ended November 30, 2025 and the related notes disclosed in the registration statement on </w:t>
      </w:r>
      <w:hyperlink r:id="rId338">
        <w:r>
          <w:rPr>
            <w:rFonts w:ascii="Times New Roman" w:cs="Times New Roman" w:eastAsia="Times New Roman" w:hAnsi="Times New Roman"/>
            <w:sz w:val="18"/>
            <w:szCs w:val="18"/>
            <w:u w:val="single" w:color="auto"/>
            <w:color w:val="0000EE"/>
          </w:rPr>
          <w:t>Form S-4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333-290742) filed on March 30, 2026, which is also incorporated by reference by the Current Report on </w:t>
      </w:r>
      <w:hyperlink r:id="rId33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31, 2026, which is incorporated herein by reference;</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entitled </w:t>
      </w:r>
      <w:r>
        <w:rPr>
          <w:rFonts w:ascii="Times New Roman" w:cs="Times New Roman" w:eastAsia="Times New Roman" w:hAnsi="Times New Roman"/>
          <w:sz w:val="18"/>
          <w:szCs w:val="18"/>
          <w:i w:val="1"/>
          <w:iCs w:val="1"/>
          <w:color w:val="auto"/>
        </w:rPr>
        <w:t>“Aptorum Management’s Discussion and Analysis of Financial Condition and Results of Operations of Aptorum,”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of DiamiR,” </w:t>
      </w:r>
      <w:r>
        <w:rPr>
          <w:rFonts w:ascii="Times New Roman" w:cs="Times New Roman" w:eastAsia="Times New Roman" w:hAnsi="Times New Roman"/>
          <w:sz w:val="18"/>
          <w:szCs w:val="18"/>
          <w:color w:val="auto"/>
        </w:rPr>
        <w:t>and other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Aptorum and DiamiR.</w:t>
      </w:r>
    </w:p>
    <w:p>
      <w:pPr>
        <w:spacing w:after="0" w:line="175" w:lineRule="exact"/>
        <w:rPr>
          <w:rFonts w:ascii="Times New Roman" w:cs="Times New Roman" w:eastAsia="Times New Roman" w:hAnsi="Times New Roman"/>
          <w:sz w:val="18"/>
          <w:szCs w:val="18"/>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spacing w:after="0" w:line="192"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accounting policy differences or other items which required adjustment in the accompanying unaudited pro forma condensed combined financial statements.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0" w:name="page271"/>
    <w:bookmarkEnd w:id="27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2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2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4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of notes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Aptorum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DiamiR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2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12/31/2025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11/30/2025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21"/>
                <w:szCs w:val="21"/>
                <w:color w:val="auto"/>
              </w:rPr>
            </w:pPr>
          </w:p>
        </w:tc>
        <w:tc>
          <w:tcPr>
            <w:tcW w:w="108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(c)</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Combined</w:t>
            </w:r>
          </w:p>
        </w:tc>
      </w:tr>
      <w:tr>
        <w:trPr>
          <w:trHeight w:val="216"/>
        </w:trPr>
        <w:tc>
          <w:tcPr>
            <w:tcW w:w="2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equivalents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131,091</w:t>
            </w: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(88,700)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42,391</w:t>
            </w:r>
          </w:p>
        </w:tc>
      </w:tr>
      <w:tr>
        <w:trPr>
          <w:trHeight w:val="25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139,633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145,337</w:t>
            </w:r>
          </w:p>
        </w:tc>
      </w:tr>
      <w:tr>
        <w:trPr>
          <w:trHeight w:val="203"/>
        </w:trPr>
        <w:tc>
          <w:tcPr>
            <w:tcW w:w="26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3,592,524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221,685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(388,700)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3,425,509</w:t>
            </w:r>
          </w:p>
        </w:tc>
        <w:tc>
          <w:tcPr>
            <w:tcW w:w="100" w:type="dxa"/>
            <w:vAlign w:val="bottom"/>
            <w:tcBorders>
              <w:top w:val="single" w:sz="8" w:color="CCEEFF"/>
            </w:tcBorders>
          </w:tcPr>
          <w:p>
            <w:pPr>
              <w:spacing w:after="0"/>
              <w:rPr>
                <w:sz w:val="17"/>
                <w:szCs w:val="17"/>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15,098,846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15,098,846</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61,619</w:t>
            </w: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61,619</w:t>
            </w: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8,244,000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8,244,000</w:t>
            </w: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In-process research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6,780,200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6,780,200</w:t>
            </w: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Tradename-trademark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1,584,800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1,584,800</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197,761</w:t>
            </w: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197,761</w:t>
            </w:r>
          </w:p>
        </w:tc>
      </w:tr>
      <w:tr>
        <w:trPr>
          <w:trHeight w:val="24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7,725,167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7,725,167</w:t>
            </w:r>
          </w:p>
        </w:tc>
      </w:tr>
      <w:tr>
        <w:trPr>
          <w:trHeight w:val="210"/>
        </w:trPr>
        <w:tc>
          <w:tcPr>
            <w:tcW w:w="26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18,691,370</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481,065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23,945,467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43,117,902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79,180</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1,071,715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673,396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(106,200)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1,638,911</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38,442</w:t>
            </w: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62,870</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notes to a related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party</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3,418,500</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(3,418,500)</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6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4,593,823</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711,838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(3,418,500)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(106,200)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1,780,961</w:t>
            </w:r>
          </w:p>
        </w:tc>
        <w:tc>
          <w:tcPr>
            <w:tcW w:w="100" w:type="dxa"/>
            <w:vAlign w:val="bottom"/>
            <w:tcBorders>
              <w:top w:val="single" w:sz="8" w:color="CCEEFF"/>
            </w:tcBorders>
          </w:tcPr>
          <w:p>
            <w:pPr>
              <w:spacing w:after="0"/>
              <w:rPr>
                <w:sz w:val="17"/>
                <w:szCs w:val="17"/>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306,000</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w:t>
            </w: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notes to a related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party</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1,252,125</w:t>
            </w:r>
          </w:p>
        </w:tc>
        <w:tc>
          <w:tcPr>
            <w:tcW w:w="12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(1,252,125)</w:t>
            </w:r>
          </w:p>
        </w:tc>
        <w:tc>
          <w:tcPr>
            <w:tcW w:w="1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(4,670,625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Contingently redeemable warrants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47,000</w:t>
            </w: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($0.00001 par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 1,796,934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0 shares issued 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1,796,934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pro</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($0.00001 par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 160,000,000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0 shares issued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29,453,447 shares issued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pro forma) (g)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(d)(f)</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($0.00001 par value,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9,999,996,000,000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6,346,823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0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pro</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forma)</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Aptorum Class B ordinary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($0.00001 par value; 4,000,000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authorized, 1,796,934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2025; 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4,441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(4,441)</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 100,000,000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4,440,891 issued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5"/>
        </w:trPr>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ectPr>
          <w:pgSz w:w="11900" w:h="16900" w:orient="portrait"/>
          <w:cols w:equalWidth="0" w:num="1">
            <w:col w:w="11240"/>
          </w:cols>
          <w:pgMar w:left="320" w:top="873" w:right="339" w:bottom="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November 30, 2025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97,000,188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4,741,863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4,670,612</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18,605,862</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125,018,525</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(92,310)</w:t>
            </w: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(73,792,798)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(6,232,526)</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5,450,026</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(d)(e)(j)</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(74,575,298)</w:t>
            </w:r>
          </w:p>
        </w:tc>
      </w:tr>
      <w:tr>
        <w:trPr>
          <w:trHeight w:val="184"/>
        </w:trPr>
        <w:tc>
          <w:tcPr>
            <w:tcW w:w="2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equity attributable to the</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of Aptorum Group</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23,115,160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(1,486,222)</w:t>
            </w: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4,670,625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24,051,667</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50,351,230</w:t>
            </w: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(9,370,613)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(9,370,613)</w:t>
            </w:r>
          </w:p>
        </w:tc>
      </w:tr>
      <w:tr>
        <w:trPr>
          <w:trHeight w:val="236"/>
        </w:trPr>
        <w:tc>
          <w:tcPr>
            <w:tcW w:w="2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13,744,547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4,670,625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24,051,667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1"/>
        </w:trPr>
        <w:tc>
          <w:tcPr>
            <w:tcW w:w="262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Total Liabilities, Temporary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and Stockholders’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18,691,370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481,065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$ 23,945,467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43,117,902</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U.S. dollars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2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0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of notes</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Aptorum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DiamiR</w:t>
            </w: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10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2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12/31/2025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11/30/2025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21"/>
                <w:szCs w:val="21"/>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(93,016)</w:t>
            </w: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(352,879)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(446,412)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(799,291)</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(1,464,649)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(1,126,276)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(800,000)</w:t>
            </w: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8"/>
                <w:szCs w:val="18"/>
                <w:color w:val="auto"/>
                <w:w w:val="99"/>
              </w:rPr>
              <w:t>(e)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(4,131,087)</w:t>
            </w:r>
          </w:p>
        </w:tc>
      </w:tr>
      <w:tr>
        <w:trPr>
          <w:trHeight w:val="216"/>
        </w:trPr>
        <w:tc>
          <w:tcPr>
            <w:tcW w:w="2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514,838</w:t>
            </w:r>
          </w:p>
        </w:tc>
        <w:tc>
          <w:tcPr>
            <w:tcW w:w="1320" w:type="dxa"/>
            <w:vAlign w:val="bottom"/>
            <w:gridSpan w:val="3"/>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3"/>
              </w:rPr>
              <w:t>(j)</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(1,255,000)</w:t>
            </w: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8"/>
                <w:szCs w:val="18"/>
                <w:color w:val="auto"/>
                <w:w w:val="95"/>
              </w:rPr>
              <w:t>(k)</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(1,540,162)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(408,638)</w:t>
            </w:r>
          </w:p>
        </w:tc>
        <w:tc>
          <w:tcPr>
            <w:tcW w:w="1320" w:type="dxa"/>
            <w:vAlign w:val="bottom"/>
            <w:gridSpan w:val="3"/>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3"/>
              </w:rPr>
              <w:t>(j)</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280,364</w:t>
            </w: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8"/>
                <w:szCs w:val="18"/>
                <w:color w:val="auto"/>
                <w:w w:val="95"/>
              </w:rPr>
              <w:t>(h)</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84,287</w:t>
            </w: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cost allocated to warrant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(153,189)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(153,189)</w:t>
            </w: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690,000</w:t>
            </w:r>
          </w:p>
        </w:tc>
      </w:tr>
      <w:tr>
        <w:trPr>
          <w:trHeight w:val="236"/>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(1,376,430)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(1,038,166)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(1,668,436)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(4,083,032)</w:t>
            </w:r>
          </w:p>
        </w:tc>
        <w:tc>
          <w:tcPr>
            <w:tcW w:w="100" w:type="dxa"/>
            <w:vAlign w:val="bottom"/>
          </w:tcPr>
          <w:p>
            <w:pPr>
              <w:spacing w:after="0"/>
              <w:rPr>
                <w:sz w:val="17"/>
                <w:szCs w:val="17"/>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167,508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167,508</w:t>
            </w:r>
          </w:p>
        </w:tc>
      </w:tr>
      <w:tr>
        <w:trPr>
          <w:trHeight w:val="203"/>
        </w:trPr>
        <w:tc>
          <w:tcPr>
            <w:tcW w:w="2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(1,376,430)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(870,658)</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(1,668,436)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(3,915,524)</w:t>
            </w:r>
          </w:p>
        </w:tc>
        <w:tc>
          <w:tcPr>
            <w:tcW w:w="100" w:type="dxa"/>
            <w:vAlign w:val="bottom"/>
            <w:tcBorders>
              <w:top w:val="single" w:sz="8" w:color="CCEEFF"/>
            </w:tcBorders>
          </w:tcPr>
          <w:p>
            <w:pPr>
              <w:spacing w:after="0"/>
              <w:rPr>
                <w:sz w:val="17"/>
                <w:szCs w:val="17"/>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13,160</w:t>
            </w:r>
          </w:p>
        </w:tc>
      </w:tr>
      <w:tr>
        <w:trPr>
          <w:trHeight w:val="171"/>
        </w:trPr>
        <w:tc>
          <w:tcPr>
            <w:tcW w:w="26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Net loss attributable to Aptorum</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9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Limited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(1,363,270)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(870,658)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(1,668,436)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(3,902,364)</w:t>
            </w: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Aptorum Group Limited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7,351,784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4,440,891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8"/>
                <w:szCs w:val="18"/>
                <w:color w:val="auto"/>
                <w:w w:val="93"/>
              </w:rPr>
              <w:t>(i)</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29,866,670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7,351,784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4,440,891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3"/>
              </w:rPr>
              <w:t>(i)</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29,866,670</w:t>
            </w: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(1,376,430)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(870,658)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(1,668,436)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(3,915,524)</w:t>
            </w:r>
          </w:p>
        </w:tc>
      </w:tr>
      <w:tr>
        <w:trPr>
          <w:trHeight w:val="216"/>
        </w:trPr>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foreign operations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(181,472)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(181,472)</w:t>
            </w: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(1,557,902)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(870,658)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(1,668,436)</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(4,096,996)</w:t>
            </w: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13,160</w:t>
            </w:r>
          </w:p>
        </w:tc>
      </w:tr>
      <w:tr>
        <w:trPr>
          <w:trHeight w:val="171"/>
        </w:trPr>
        <w:tc>
          <w:tcPr>
            <w:tcW w:w="26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Comprehensive loss attributable to</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shareholders of Aptorum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Limited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(1,544,742)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(870,658)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(1,668,436)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(4,083,836)</w:t>
            </w:r>
          </w:p>
        </w:tc>
      </w:tr>
      <w:tr>
        <w:trPr>
          <w:trHeight w:val="20"/>
        </w:trPr>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APTORUM</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Transaction and Basis of Presentation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should be read in conjunction with the historical consolidated financial statements of DiamiR and the Company included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Accounting Adjustments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transaction accounting adjustments are included in the unaudited pro forma condensed combined financial statements:</w:t>
      </w:r>
    </w:p>
    <w:p>
      <w:pPr>
        <w:spacing w:after="0" w:line="225" w:lineRule="exact"/>
        <w:rPr>
          <w:sz w:val="20"/>
          <w:szCs w:val="20"/>
          <w:color w:val="auto"/>
        </w:rPr>
      </w:pPr>
    </w:p>
    <w:p>
      <w:pPr>
        <w:ind w:left="980" w:hanging="324"/>
        <w:spacing w:after="0" w:line="282"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October 2025 Offering is already reflected in the pro forma condensed combined statement of financial position as of December 31, 2025.</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spacing w:after="0" w:line="1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due to shareholders in the amount of $4,670,625 are to be converted into 1,338,223 shares of common stock in connection with the consummation of the Acquisition.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4" w:name="page275"/>
    <w:bookmarkEnd w:id="274"/>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Upon completion of the Acquisition, Aptorum would hold 100% of the Target Company’s equity interest and obtain control over the Target Company. Accordingly, the Target Company would become a subsidiary of the Company.</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Group has applied the acquisition method in accordance with ASC 805 to account for the Acquisition as if the Acquisition had been completed on December 31, 2025 and the preliminary purchase price allocation for pro forma purposes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24,100,070</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24,100,070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8,244,000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6,780,200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Tradename-trademark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1,584,800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197,761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61,619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(3,324)</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Debt-free net working capital deficit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(490,153)</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Fair Value of Identified Net Assets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16,374,903</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Remaining Unidentified Goodwill Value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7,725,167</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Note i:</w:t>
        <w:tab/>
        <w:t>The fair value of total consideration represents the number of shares of Aptorum expected to be issued in the share exchange based on aggregate fair value of Aptorum common stock at $1.21 per share, representing the closing Aptorum share price on March 23, 2026.</w:t>
      </w:r>
    </w:p>
    <w:p>
      <w:pPr>
        <w:spacing w:after="0" w:line="162"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 Group’s annual report the basis and assumptions adopted by the Company’s directors in the impairment assessment in accordance with the disclosure requirements in ASC 350-20-35.</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5" w:name="page276"/>
    <w:bookmarkEnd w:id="275"/>
    <w:p>
      <w:pPr>
        <w:ind w:left="980" w:right="20"/>
        <w:spacing w:after="0" w:line="282" w:lineRule="auto"/>
        <w:rPr>
          <w:sz w:val="20"/>
          <w:szCs w:val="20"/>
          <w:color w:val="auto"/>
        </w:rPr>
      </w:pPr>
      <w:r>
        <w:rPr>
          <w:rFonts w:ascii="Times New Roman" w:cs="Times New Roman" w:eastAsia="Times New Roman" w:hAnsi="Times New Roman"/>
          <w:sz w:val="18"/>
          <w:szCs w:val="18"/>
          <w:color w:val="auto"/>
        </w:rPr>
        <w:t>Amounts allocated to patents are generally subject to amortization over the lives of the patents, as definite-live intangible assets. The pro forma condensed combined statement of operations includes amortization expense of $1,255,000.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Amounts allocated to in-process research and development are subject periodic impairment, including upon the abandonment of programs.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Amounts allocated to goodwill are subject to periodic impairment, including upon Company market price declines.</w:t>
      </w:r>
    </w:p>
    <w:p>
      <w:pPr>
        <w:spacing w:after="0" w:line="20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Each Aptorum Class A Ordinary share is exchanged for one share of common stock of the combined company. Each Aptorum Class B Ordinary Share is exchanged for one share of common stock of the combined company and one share of preferred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DiamiR’s historical stockholder equity balances are eliminated.</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automatic conversion in connection with the Domestication of 1,796,934 Aptorum Class B Ordinary Shares into 1,796,934 shares of common stock of Aptorum Delaware and 1,796,934 shares of Series A preferred stock of Aptorum Delaware.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shares of common stock outstanding include: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Class A Ordinary Shares at December 31, 2025 that are to be converted into common stock</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6,346,823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Aptorum Class B Ordinary Shares into common stock</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1,796,934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note payable into common stock</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1,338,223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54,054</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to DiamiR shareholders in merger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19,917,413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Common Stock Outstanding at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29,453,447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above adjustments, no adjustments have been made to reflect any results of operations or other transactions entered into subsequent to December 31, 2025. Unless otherwise stated, the adjustments above do not have a recurring effect.</w:t>
      </w:r>
    </w:p>
    <w:p>
      <w:pPr>
        <w:spacing w:after="0" w:line="162" w:lineRule="exact"/>
        <w:rPr>
          <w:sz w:val="20"/>
          <w:szCs w:val="20"/>
          <w:color w:val="auto"/>
        </w:rPr>
      </w:pPr>
    </w:p>
    <w:p>
      <w:pPr>
        <w:ind w:left="980" w:hanging="324"/>
        <w:spacing w:after="0"/>
        <w:tabs>
          <w:tab w:leader="none" w:pos="9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expense related to convertible notes to be converted into shares of common stock of Aptorum Delaware.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on a pro forma basis includes: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Aptorum Class A Ordinary Shares at December 31,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6,346,823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Aptorum Class B Ordinary Shares into common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1,796,934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note payable into common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1,338,223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54,054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DiamiR shareholders in merger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19,917,413</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issuable for nominal consideration to Wainwright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630,915</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transactions between Aptorum and DiamiR associated with the Management Services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patents based upon an estimated average life of 6.6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12"/>
          </w:tcPr>
          <w:p>
            <w:pPr>
              <w:jc w:val="center"/>
              <w:ind w:left="190"/>
              <w:spacing w:after="0"/>
              <w:rPr>
                <w:sz w:val="20"/>
                <w:szCs w:val="20"/>
                <w:color w:val="auto"/>
              </w:rPr>
            </w:pPr>
            <w:r>
              <w:rPr>
                <w:rFonts w:ascii="Times New Roman" w:cs="Times New Roman" w:eastAsia="Times New Roman" w:hAnsi="Times New Roman"/>
                <w:sz w:val="18"/>
                <w:szCs w:val="18"/>
                <w:color w:val="auto"/>
                <w:w w:val="98"/>
              </w:rPr>
              <w:t>I</w:t>
            </w:r>
            <w:r>
              <w:rPr>
                <w:rFonts w:ascii="Times New Roman" w:cs="Times New Roman" w:eastAsia="Times New Roman" w:hAnsi="Times New Roman"/>
                <w:sz w:val="18"/>
                <w:szCs w:val="18"/>
                <w:b w:val="1"/>
                <w:bCs w:val="1"/>
                <w:color w:val="auto"/>
                <w:w w:val="98"/>
              </w:rPr>
              <w:t>NDEX TO DIAMIR’S CONSOLIDATED FINANCIAL STATEMENTS</w:t>
            </w:r>
          </w:p>
        </w:tc>
        <w:tc>
          <w:tcPr>
            <w:tcW w:w="1120" w:type="dxa"/>
            <w:vAlign w:val="bottom"/>
          </w:tcPr>
          <w:p>
            <w:pPr>
              <w:spacing w:after="0"/>
              <w:rPr>
                <w:sz w:val="20"/>
                <w:szCs w:val="20"/>
                <w:color w:val="auto"/>
              </w:rPr>
            </w:pPr>
          </w:p>
        </w:tc>
      </w:tr>
      <w:tr>
        <w:trPr>
          <w:trHeight w:val="452"/>
        </w:trPr>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February 28, 2026 and May 31, 2025</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nine months ended February 28, 2026 and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Deficit Equity for the nine months ended February 28, 2026</w:t>
            </w:r>
          </w:p>
        </w:tc>
        <w:tc>
          <w:tcPr>
            <w:tcW w:w="112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0000EE"/>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2025</w:t>
            </w:r>
          </w:p>
        </w:tc>
        <w:tc>
          <w:tcPr>
            <w:tcW w:w="90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February 28, 2026 and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 199)</w:t>
            </w:r>
          </w:p>
        </w:tc>
        <w:tc>
          <w:tcPr>
            <w:tcW w:w="468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F-16</w:t>
            </w: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 688)</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May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May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Deficit for the years ended May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F-20</w:t>
            </w:r>
          </w:p>
        </w:tc>
      </w:tr>
      <w:tr>
        <w:trPr>
          <w:trHeight w:val="175"/>
        </w:trPr>
        <w:tc>
          <w:tcPr>
            <w:tcW w:w="76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May 31, 2025 and 2024</w:t>
            </w:r>
          </w:p>
        </w:tc>
        <w:tc>
          <w:tcPr>
            <w:tcW w:w="252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F-22</w:t>
            </w: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4680" w:type="dxa"/>
            <w:vAlign w:val="bottom"/>
            <w:tcBorders>
              <w:top w:val="single" w:sz="8" w:color="CCEEFF"/>
              <w:bottom w:val="single" w:sz="8" w:color="auto"/>
            </w:tcBorders>
            <w:gridSpan w:val="8"/>
          </w:tcPr>
          <w:p>
            <w:pPr>
              <w:jc w:val="center"/>
              <w:ind w:right="432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May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235,736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107,400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10,513</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353,649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12,343</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net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78,609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63,349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197,761</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197,761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642,362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current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1,282,717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699,842</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45,969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43,982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noncurrent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29,943</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22,698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2,068,471</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1,473,585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none issued or outstanding</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4,440,891 and 4,440,891 issued and outstanding</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February 28, 2026 and May 31, 2025, respectively</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4,441</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4,741,863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(6,172,413)</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(5,822,571)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642,362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384,624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February 28,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531,729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190,355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631,729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93,016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337,255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548,486</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1,006,054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503,157</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1,436,325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1,051,643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income/(expense)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809,542</w:t>
            </w:r>
          </w:p>
        </w:tc>
        <w:tc>
          <w:tcPr>
            <w:tcW w:w="24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(87,960)</w:t>
            </w:r>
          </w:p>
        </w:tc>
        <w:tc>
          <w:tcPr>
            <w:tcW w:w="2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(59,450)</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(59,450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14"/>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(524,388)</w:t>
            </w: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(479,364)</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(174,546)</w:t>
            </w:r>
          </w:p>
        </w:tc>
        <w:tc>
          <w:tcPr>
            <w:tcW w:w="2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40" w:type="dxa"/>
            <w:vAlign w:val="bottom"/>
          </w:tcPr>
          <w:p>
            <w:pPr>
              <w:spacing w:after="0"/>
              <w:rPr>
                <w:sz w:val="22"/>
                <w:szCs w:val="22"/>
                <w:color w:val="auto"/>
              </w:rPr>
            </w:pP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(349,842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(493,710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4,440,891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4,440,891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4,670,165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(5,079,336)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(404,730)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note payable to founder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24,970</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(493,710)</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(493,710)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28,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4,719,447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(5,573,046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4,729,169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(5,822,571)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(1,088,961)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on note payable to founder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(349,842)</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(349,842)</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February 28, 2026</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4,741,863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(6,172,413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(1,426,109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February 28,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(493,710)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24,312</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expensed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150,526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31,406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resulting from 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89,281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(34,293)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49,980</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(176,002)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12,890</w:t>
            </w:r>
          </w:p>
        </w:tc>
      </w:tr>
      <w:tr>
        <w:trPr>
          <w:trHeight w:val="203"/>
        </w:trPr>
        <w:tc>
          <w:tcPr>
            <w:tcW w:w="868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(64,162)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(130,045)</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0"/>
        </w:trPr>
        <w:tc>
          <w:tcPr>
            <w:tcW w:w="868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250,000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69,955</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70,276</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235,736</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140,231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on note payable to founder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PRINCIPAL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limited operating history and has incurred a net loss of $743,235 and $614,405 for the years ended May 31, 2025 and 2024, respectively, and $349,842 in the nine months ended February 28, 2026. The Company used net cash $313,440 in the year ended May 31, 2025 and $64,162 in the nine months ended February 28, 2026 for operating activities.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Company had no cash equivalents as of February 28, 2026 and May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February 28, 2026 and May 31, 2025, the recorded values of cash, accounts receivable, accounts payable and accrued expenses, and convertible note payable to founder approximate the fair values due to the short-term nature of the instruments. See note 8, Convertible Notes Payable.</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using the highest-level inputs available in the fair value hierarchy, which establishes three levels of inputs that may be used to measure fair value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for identical assets or liabilities;</w:t>
      </w:r>
    </w:p>
    <w:p>
      <w:pPr>
        <w:spacing w:after="0" w:line="225" w:lineRule="exact"/>
        <w:rPr>
          <w:sz w:val="20"/>
          <w:szCs w:val="20"/>
          <w:color w:val="auto"/>
        </w:rPr>
      </w:pPr>
    </w:p>
    <w:p>
      <w:pPr>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or inactive markets or that are observable for the asset or liability either directly or indirectly;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nine months ended February 28,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 — Government assistance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Through May 31, 2025, the Company’s primary source of revenue was grant revenue from non-customers. The Company applied the provisions of ASC Topic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February 28,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service revenue from customers in accordance with FASB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assets and deferred revenues related to contracts with customers consist of the following as of February 28, 2026 and May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Unbilled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Deferred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2024</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change due to billings</w:t>
            </w:r>
          </w:p>
        </w:tc>
        <w:tc>
          <w:tcPr>
            <w:tcW w:w="9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43,982</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9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May 31, 2025</w:t>
            </w: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43,982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due to billings</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86,373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86,373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9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86,373</w:t>
            </w:r>
          </w:p>
        </w:tc>
        <w:tc>
          <w:tcPr>
            <w:tcW w:w="22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86,373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2026</w:t>
            </w: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February 28, 2026 and 2025, the Company recognized other revenue of $60,000 and $100,000 upon shipment of the subject materials under material transfer agreements with a non-customer.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nine months ended February 28, 2026, the Company’s other income consists of fees received under a management services agreement with Aptorum Group Ltd.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earlier of a closing of the merger or June 30, 2026. The services provided by the Company under the agreement are employee services that do not vary significantly in nature on a periodic basis and the Company recognizes income in equal monthly amounts. As of February 28, 2026, $107,400 of revenue from the agreements is included in accounts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Derivative Financial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w:cs="Times New Roman" w:eastAsia="Times New Roman" w:hAnsi="Times New Roman"/>
          <w:sz w:val="18"/>
          <w:szCs w:val="18"/>
          <w:i w:val="1"/>
          <w:iCs w:val="1"/>
          <w:color w:val="auto"/>
        </w:rPr>
        <w:t>Derivative Instruments and Hedging: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w:t>
      </w:r>
      <w:r>
        <w:rPr>
          <w:rFonts w:ascii="Times New Roman" w:cs="Times New Roman" w:eastAsia="Times New Roman" w:hAnsi="Times New Roman"/>
          <w:sz w:val="18"/>
          <w:szCs w:val="18"/>
          <w:color w:val="auto"/>
        </w:rPr>
        <w:t>(“ASC Topic 815-40”) and ASC Topic 470,</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 The result of this accounting treatment could be that the fair value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February 28, 2026 and May 31,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the Company believes might have a material impact on its financial position or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services revenue from Aptorum</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107,400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10,513</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ACCOUNTS PAYABLE AND ACCRUED EXPENSES</w:t>
            </w: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45"/>
        </w:trPr>
        <w:tc>
          <w:tcPr>
            <w:tcW w:w="530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services</w:t>
            </w:r>
          </w:p>
        </w:tc>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220,411</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5,884</w:t>
            </w: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w:t>
            </w:r>
          </w:p>
        </w:tc>
      </w:tr>
      <w:tr>
        <w:trPr>
          <w:trHeight w:val="210"/>
        </w:trPr>
        <w:tc>
          <w:tcPr>
            <w:tcW w:w="5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699,842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231,858</w:t>
            </w:r>
          </w:p>
        </w:tc>
        <w:tc>
          <w:tcPr>
            <w:tcW w:w="100" w:type="dxa"/>
            <w:vAlign w:val="bottom"/>
            <w:tcBorders>
              <w:top w:val="single" w:sz="8" w:color="CCEEFF"/>
            </w:tcBorders>
          </w:tcPr>
          <w:p>
            <w:pPr>
              <w:spacing w:after="0"/>
              <w:rPr>
                <w:sz w:val="18"/>
                <w:szCs w:val="18"/>
                <w:color w:val="auto"/>
              </w:rPr>
            </w:pPr>
          </w:p>
        </w:tc>
      </w:tr>
      <w:tr>
        <w:trPr>
          <w:trHeight w:val="21"/>
        </w:trPr>
        <w:tc>
          <w:tcPr>
            <w:tcW w:w="5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right"/>
              <w:ind w:right="3034"/>
              <w:spacing w:after="0"/>
              <w:rPr>
                <w:sz w:val="20"/>
                <w:szCs w:val="20"/>
                <w:color w:val="auto"/>
              </w:rPr>
            </w:pPr>
            <w:r>
              <w:rPr>
                <w:rFonts w:ascii="Times New Roman" w:cs="Times New Roman" w:eastAsia="Times New Roman" w:hAnsi="Times New Roman"/>
                <w:sz w:val="18"/>
                <w:szCs w:val="18"/>
                <w:color w:val="auto"/>
              </w:rPr>
              <w:t>F-12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CONVERTIBLE NOTES PAYABLE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 payable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director</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1,086,867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Scientific Officer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85,417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195,850</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1,282,717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957,662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nine months ended February 28, 2026,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 capital. The Company has recorded previous discounts on its founder notes, calculated at an estimated effective rates between 9.5% and 10%, as additions to paid-in capital. Unamortized discounts presented as a deduction from the face amount of the Notes amounted to $60,732 and $96,332 as of February 28, 2026 and May 31, 2025, respectively.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nine months ended February 28, 2026,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February 28, 2026, the convertible note originally issued to the Company’s Chief Scientific Officer was transferred to a third party.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notes are due upon demand at the option of the holder when there is a liquidation event, which shall include:</w:t>
      </w:r>
    </w:p>
    <w:p>
      <w:pPr>
        <w:spacing w:after="0" w:line="225" w:lineRule="exact"/>
        <w:rPr>
          <w:sz w:val="20"/>
          <w:szCs w:val="20"/>
          <w:color w:val="auto"/>
        </w:rPr>
      </w:pPr>
    </w:p>
    <w:p>
      <w:pPr>
        <w:ind w:left="660" w:right="20" w:hanging="328"/>
        <w:spacing w:after="0" w:line="282"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lease, transfer or other disposition of all or substantially all of the assets of Company or the grant of any exclusive license to any material portion of the Company’s intellectual property;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CONVERTIBLE NOTES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securities by Company or one of its subsidiaries;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dissolution or winding up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consists of the following in the nine months ended February 28: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notes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39,456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48,293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30,803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87,960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nine months ended February 28, 2026,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stock option plans, under which shares are available for issuance of stock-based awards under terms established by the board of directors. Through February 28, 2026,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February 28, 2026, stock-based compensation expense amounted to $0. In the nine months ended February 28, 2025, stock-based compensation expense amounted to $20,418, which is included in research and development expenses. As of February 28, 2026, unrecognized stock-based compensation expense related to options for which vesting is considered probable was $0.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28, 2026, unrecognized stock-based compensation expense related to options for which vesting is not considered probable was $1,093,712. As of February 28, 2026, the grant-date fair value and unrecognized compensation expense related to restricted stock units for which vesting is not considered probable was $652,080.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Contribution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nine months ended February 28, 2026 and 2025, a founder made contributions to the Company in the form of loans with interest rates below market. The Company recorded a discounts on the loans of $12,694 and $24,970 in the nine months ended February 28, 2026 and 2025, respectively, as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February 28, 2025,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28, 2026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in the nine months ended February 28, 2025 reflects increases in unrecognized tax benefits related to current deductions for certain funded research and development expenses subject to interpretations of applicable tax law, in excess of available net operating carryforwards. Income tax expense in the nine months ended February 28, 2026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have been excluded from the calculation of loss per share because their effects would be antidilutive in the nine months ended February 28: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441,750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29,336</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shares are issuable under the Company’s convertible notes, the amount of which is dependent on future events.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DiamiR Biosciences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 CPAs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served as the Company’s auditor since 2023 (such date takes into account the acquisition of the attest business of Marcum </w:t>
      </w:r>
      <w:r>
        <w:rPr>
          <w:rFonts w:ascii="Times New Roman" w:cs="Times New Roman" w:eastAsia="Times New Roman" w:hAnsi="Times New Roman"/>
          <w:sz w:val="12"/>
          <w:szCs w:val="12"/>
          <w:color w:val="auto"/>
        </w:rPr>
        <w:t>llp</w:t>
      </w:r>
      <w:r>
        <w:rPr>
          <w:rFonts w:ascii="Times New Roman" w:cs="Times New Roman" w:eastAsia="Times New Roman" w:hAnsi="Times New Roman"/>
          <w:sz w:val="18"/>
          <w:szCs w:val="18"/>
          <w:color w:val="auto"/>
        </w:rPr>
        <w:t xml:space="preserve"> by CBIZ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6,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DiamiR Biosciences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2023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2024, except for Note 15, Subsequent Events, as to which the date is August 1,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56,836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70,276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89,281</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46,649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120,139</w:t>
            </w: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103,485</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279,696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20,029</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63,349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61,519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197,761</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197,761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231,858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148,648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41,383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40,178</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43,982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317,223</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188,826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to founder</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957,662</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614,182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22,698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22,036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176,002</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159,519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1,473,585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none issued or outstanding</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4,440,891 issued and outstanding at May 31, 2025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2024</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4,729,169</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4,670,165</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(5,822,571)</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(5,079,336)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(1,088,961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(404,730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384,624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579,833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650,591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1,156,860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624,388</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614,074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1,274,979</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1,770,934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(643,250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82,046</w:t>
            </w:r>
          </w:p>
        </w:tc>
        <w:tc>
          <w:tcPr>
            <w:tcW w:w="2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48,599</w:t>
            </w: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(725,296)</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(500,002)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17,939</w:t>
            </w:r>
          </w:p>
        </w:tc>
        <w:tc>
          <w:tcPr>
            <w:tcW w:w="2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114,403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(743,235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(614,405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4,440,891</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4,440,891</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4,440,256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(4,464,931)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194,846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194,846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note payable to founder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35,063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35,063</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(614,405)</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(614,405)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4,670,165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(5,079,336)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note payable to founder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34,692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34,692</w:t>
            </w:r>
          </w:p>
        </w:tc>
        <w:tc>
          <w:tcPr>
            <w:tcW w:w="0" w:type="dxa"/>
            <w:vAlign w:val="bottom"/>
          </w:tcPr>
          <w:p>
            <w:pPr>
              <w:spacing w:after="0"/>
              <w:rPr>
                <w:sz w:val="1"/>
                <w:szCs w:val="1"/>
                <w:color w:val="auto"/>
              </w:rPr>
            </w:pPr>
          </w:p>
        </w:tc>
      </w:tr>
      <w:tr>
        <w:trPr>
          <w:trHeight w:val="23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(743,235)</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(743,235)</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4,440,891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4,729,169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(5,822,571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(1,088,961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(743,235)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(614,405)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194,846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expensed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(8,450)</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resulting from 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89,281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(89,281)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(89,334)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83,210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108,997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34,634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23,232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112,947</w:t>
            </w:r>
          </w:p>
        </w:tc>
      </w:tr>
      <w:tr>
        <w:trPr>
          <w:trHeight w:val="203"/>
        </w:trPr>
        <w:tc>
          <w:tcPr>
            <w:tcW w:w="868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(313,440)</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(308,914)</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(1,278)</w:t>
            </w:r>
          </w:p>
        </w:tc>
      </w:tr>
      <w:tr>
        <w:trPr>
          <w:trHeight w:val="203"/>
        </w:trPr>
        <w:tc>
          <w:tcPr>
            <w:tcW w:w="868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 to founder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37"/>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200,000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(13,440)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(110,192)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70,276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180,468</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56,836</w:t>
            </w:r>
          </w:p>
        </w:tc>
        <w:tc>
          <w:tcPr>
            <w:tcW w:w="2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70,276</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on note payable to founder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35,063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PRINCIPAL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spacing w:after="0" w:line="3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 limited operating history and has incurred a net loss of $743,235 and $614,405 for the years ended May 31, 2025 and 2024, respectively, and had net cash used in operating activities of $313,440 for the year ended May 31, 2025.</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Company had no cash equivalents as of May 31, 2025 and May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using the highest level inputs available in the fair value hierarchy, which establishes three levels of inputs that may be used to measure fair value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for identical assets or liabilities;</w:t>
      </w:r>
    </w:p>
    <w:p>
      <w:pPr>
        <w:spacing w:after="0" w:line="225" w:lineRule="exact"/>
        <w:rPr>
          <w:sz w:val="20"/>
          <w:szCs w:val="20"/>
          <w:color w:val="auto"/>
        </w:rPr>
      </w:pPr>
    </w:p>
    <w:p>
      <w:pPr>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or inactive markets or that are observable for the asset or liability either directly or indirectly;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primary source of revenue has been grant revenue from non-customers. The Company applies the provisions of ASC Topic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applicable to contributions received and recognizes grant revenue as qualified expenses are incurred. In the years ended May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all grant revenue was received from the National Institutes of Health (“NIH”). As of May 31, 2025, the Company has used all funding available under the grants.</w:t>
      </w:r>
    </w:p>
    <w:p>
      <w:pPr>
        <w:spacing w:after="0" w:line="18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31, 2025 and 2024, respectively, the Company had $0 and $89,281 of unbilled revenue related to grants, representing grant costs incurred, which were reimbursed in future periods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from customers in accordance with FASB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assets and deferred revenues related to contracts with customers consist of the following as of May 31, 2025 and May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300" w:type="dxa"/>
            <w:vAlign w:val="bottom"/>
            <w:gridSpan w:val="4"/>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Contract liability</w:t>
            </w:r>
          </w:p>
        </w:tc>
      </w:tr>
      <w:tr>
        <w:trPr>
          <w:trHeight w:val="194"/>
        </w:trPr>
        <w:tc>
          <w:tcPr>
            <w:tcW w:w="3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Unbilled</w:t>
            </w: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100" w:type="dxa"/>
            <w:vAlign w:val="bottom"/>
          </w:tcPr>
          <w:p>
            <w:pPr>
              <w:spacing w:after="0"/>
              <w:rPr>
                <w:sz w:val="16"/>
                <w:szCs w:val="16"/>
                <w:color w:val="auto"/>
              </w:rPr>
            </w:pPr>
          </w:p>
        </w:tc>
      </w:tr>
      <w:tr>
        <w:trPr>
          <w:trHeight w:val="245"/>
        </w:trPr>
        <w:tc>
          <w:tcPr>
            <w:tcW w:w="3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2023</w:t>
            </w:r>
          </w:p>
        </w:tc>
        <w:tc>
          <w:tcPr>
            <w:tcW w:w="2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due to billings</w:t>
            </w: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May 31, 2024</w:t>
            </w:r>
          </w:p>
        </w:tc>
        <w:tc>
          <w:tcPr>
            <w:tcW w:w="23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due to billings</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43,982</w:t>
            </w: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2025</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1012"/>
              <w:spacing w:after="0"/>
              <w:rPr>
                <w:sz w:val="20"/>
                <w:szCs w:val="20"/>
                <w:color w:val="auto"/>
              </w:rPr>
            </w:pPr>
            <w:r>
              <w:rPr>
                <w:rFonts w:ascii="Times New Roman" w:cs="Times New Roman" w:eastAsia="Times New Roman" w:hAnsi="Times New Roman"/>
                <w:sz w:val="18"/>
                <w:szCs w:val="18"/>
                <w:color w:val="auto"/>
              </w:rPr>
              <w:t>F-26</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year ended May 31, 2025, the Company’s other revenue consists of nonrecurring fees earned under a material transfer agreement with a non-customer. The Company recognized other revenue upon shipment of the subject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Derivative Financial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w:cs="Times New Roman" w:eastAsia="Times New Roman" w:hAnsi="Times New Roman"/>
          <w:sz w:val="18"/>
          <w:szCs w:val="18"/>
          <w:i w:val="1"/>
          <w:iCs w:val="1"/>
          <w:color w:val="auto"/>
        </w:rPr>
        <w:t>Derivative Instruments and Hedging: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w:t>
      </w:r>
      <w:r>
        <w:rPr>
          <w:rFonts w:ascii="Times New Roman" w:cs="Times New Roman" w:eastAsia="Times New Roman" w:hAnsi="Times New Roman"/>
          <w:sz w:val="18"/>
          <w:szCs w:val="18"/>
          <w:color w:val="auto"/>
        </w:rPr>
        <w:t>(“ASC Topic 815-40”) and ASC Topic 470,</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 The result of this accounting treatment could be that the fair value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an estimated incremental borrowing rate based on the information available at lease commencement in determining the present value of unpaid lease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 (Subtopic 815-40) — “Accounting for Convertible Instruments and Contracts in an Entity’s Own 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simplifies the accounting for convertible instruments by 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the Company believes might have a material impact on its financial position or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6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of equity financing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45,252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46,649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INTANGIBLE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11,780</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105,344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105,344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(85,315)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(64,487)</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20,029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Depreciation expense was $20,828 and $20,052 for the years ended May 31, 2025 and 2024, respectively.</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ACCOUNTS PAYABLE AND ACCRUED EXPENSES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231,858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CONVERTIBLE NOTES PAYABLE</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Founders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 payable consist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director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Scientific Officer</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85,417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77,321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CONVERTIBLE NOTES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Notes are due upon demand at the option of the holder when there is a liquidation event, which shall include:</w:t>
      </w:r>
    </w:p>
    <w:p>
      <w:pPr>
        <w:spacing w:after="0" w:line="252" w:lineRule="exact"/>
        <w:rPr>
          <w:sz w:val="20"/>
          <w:szCs w:val="20"/>
          <w:color w:val="auto"/>
        </w:rPr>
      </w:pPr>
    </w:p>
    <w:p>
      <w:pPr>
        <w:ind w:left="740" w:right="40" w:hanging="354"/>
        <w:spacing w:after="0" w:line="282" w:lineRule="auto"/>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lease, transfer or other disposition of all or substantially all of the assets of Company or the grant of any exclusive license to any material portion of the Company’s intellectual property;</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229" w:lineRule="exact"/>
        <w:rPr>
          <w:rFonts w:ascii="Times New Roman" w:cs="Times New Roman" w:eastAsia="Times New Roman" w:hAnsi="Times New Roman"/>
          <w:sz w:val="18"/>
          <w:szCs w:val="18"/>
          <w:color w:val="auto"/>
        </w:rPr>
      </w:pPr>
    </w:p>
    <w:p>
      <w:pPr>
        <w:jc w:val="both"/>
        <w:ind w:left="740" w:right="40" w:hanging="354"/>
        <w:spacing w:after="0" w:line="261" w:lineRule="auto"/>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233"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securities by Company or one of its subsidiaries; or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dissolution or winding up of the Company.</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$96,332 and $105,178 as of May 31, 2025 and 2024,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16 “Subsequent Events” regarding the Company’s definitive merger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the following in the years ended May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4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notes</w:t>
            </w:r>
          </w:p>
        </w:tc>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38,508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shd w:val="clear" w:color="auto" w:fill="CCEEFF"/>
          </w:tcPr>
          <w:p>
            <w:pPr>
              <w:spacing w:after="0"/>
              <w:rPr>
                <w:sz w:val="18"/>
                <w:szCs w:val="18"/>
                <w:color w:val="auto"/>
              </w:rPr>
            </w:pPr>
          </w:p>
        </w:tc>
      </w:tr>
      <w:tr>
        <w:trPr>
          <w:trHeight w:val="23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43,538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25,367</w:t>
            </w:r>
          </w:p>
        </w:tc>
      </w:tr>
      <w:tr>
        <w:trPr>
          <w:trHeight w:val="22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82,046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F-30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leases include the following in the years ended May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on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42,052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40,827</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39,083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37,319</w:t>
            </w:r>
          </w:p>
        </w:tc>
      </w:tr>
      <w:tr>
        <w:trPr>
          <w:trHeight w:val="41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terms and assumed discount rates are as follows: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40" w:type="dxa"/>
            <w:vAlign w:val="bottom"/>
          </w:tcPr>
          <w:p>
            <w:pPr>
              <w:spacing w:after="0"/>
              <w:rPr>
                <w:sz w:val="24"/>
                <w:szCs w:val="24"/>
                <w:color w:val="auto"/>
              </w:rPr>
            </w:pPr>
          </w:p>
        </w:tc>
        <w:tc>
          <w:tcPr>
            <w:tcW w:w="10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45"/>
        </w:trPr>
        <w:tc>
          <w:tcPr>
            <w:tcW w:w="86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lease term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5"/>
              </w:rPr>
              <w:t>1.6 years</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1.6 years</w:t>
            </w:r>
          </w:p>
        </w:tc>
        <w:tc>
          <w:tcPr>
            <w:tcW w:w="160" w:type="dxa"/>
            <w:vAlign w:val="bottom"/>
            <w:gridSpan w:val="2"/>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Minimum lease payments under leases with terms greater than one year are as follows: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May 31, 2026</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May 31, 2027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25,703</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also leases office space on a monthly basis. Total lease costs were $40,103 and $47,493 in the years ended May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Contributions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an analysis of the stock option activity under the Plans: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153,000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(198,500)</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May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5.5 years</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May 31, 2025</w:t>
            </w: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263,450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Borders>
              <w:bottom w:val="single" w:sz="8" w:color="auto"/>
            </w:tcBorders>
          </w:tcPr>
          <w:p>
            <w:pPr>
              <w:spacing w:after="0"/>
              <w:rPr>
                <w:sz w:val="19"/>
                <w:szCs w:val="19"/>
                <w:color w:val="auto"/>
              </w:rPr>
            </w:pPr>
          </w:p>
        </w:tc>
        <w:tc>
          <w:tcPr>
            <w:tcW w:w="2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May 31, 2024 was $7.00, based on the following weighted average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7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37"/>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F-32</w:t>
            </w:r>
          </w:p>
        </w:tc>
      </w:tr>
    </w:tbl>
    <w:p>
      <w:pPr>
        <w:sectPr>
          <w:pgSz w:w="11900" w:h="16838" w:orient="portrait"/>
          <w:cols w:equalWidth="0" w:num="1">
            <w:col w:w="11240"/>
          </w:cols>
          <w:pgMar w:left="320" w:top="873"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years ended May 31, 2025 and 2024, the provision for income taxes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112,947</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17,939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May 31, 2025 and 2024, a reconciliation of the Company’s effective tax rate to the statutory U.S. Federal rate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 and interest on notes</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5"/>
              </w:rPr>
              <w:t>(14.3)%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8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55"/>
        </w:trPr>
        <w:tc>
          <w:tcPr>
            <w:tcW w:w="92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F-33</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 INCOME TAXES </w:t>
            </w:r>
            <w:r>
              <w:rPr>
                <w:rFonts w:ascii="Times New Roman" w:cs="Times New Roman" w:eastAsia="Times New Roman" w:hAnsi="Times New Roman"/>
                <w:sz w:val="18"/>
                <w:szCs w:val="18"/>
                <w:color w:val="auto"/>
              </w:rPr>
              <w:t>(cont.)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at May 31, 2025 and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60" w:type="dxa"/>
            <w:vAlign w:val="bottom"/>
          </w:tcPr>
          <w:p>
            <w:pPr>
              <w:spacing w:after="0"/>
              <w:rPr>
                <w:sz w:val="24"/>
                <w:szCs w:val="24"/>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of net operating loss carry-forward (NOL)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351,453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247,637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FIN48 reduction in NOL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(269,420)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(219,793)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351,136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346,030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422,170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372,544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856,490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748,850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(8,152)</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(4,583)</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848,338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744,267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(848,338)</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(744,267)</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May 31, 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217,239</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155,305</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May 31, 2024</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May 31, 2025</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related to income tax matters in income tax expense. As of May 31, 2025 and 2024, accrued interest related to uncertain tax positions amounted to $20,483 and $4,000,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common stock equivalents have been excluded from the calculation of loss per share because their effects would be antidilutive: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29,336</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shares are issuable under the Company’s convertible notes, the amount of which is dependent on future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DEFINED CONTRIBUTION PLAN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a 401K plan for the benefit of its employees. Company contributions amounted to $5,948 and $12,711 in the years ended May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revenue and expenses are as follows in the years ended May 31, 2025 and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449,344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692,875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Consultants and contractors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176,935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278,837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R&amp;D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105,761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Consultants and contractors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213,509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292,234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44,363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150,526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facilities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53,483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55,600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35,918</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86,204</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82,046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48,599</w:t>
            </w:r>
          </w:p>
        </w:tc>
        <w:tc>
          <w:tcPr>
            <w:tcW w:w="100" w:type="dxa"/>
            <w:vAlign w:val="bottom"/>
            <w:tcBorders>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114,403</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(743,235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(614,405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 include software services, statutory and licensing fees, insurance and office expenses, among others.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8"/>
          <w:szCs w:val="18"/>
          <w:b w:val="1"/>
          <w:bCs w:val="1"/>
          <w:color w:val="auto"/>
        </w:rPr>
        <w:t>DIAMIR BIOSCIENCES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2025, DiamiR amended the convertible note with Kira Sheinerman, one of its founders and the Executive Director, such that the founder loaned us additional $150,000.</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October 6, 2025, the date these financial statements were available to be issued.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2" w:name="page313"/>
    <w:bookmarkEnd w:id="3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2008505</wp:posOffset>
            </wp:positionH>
            <wp:positionV relativeFrom="page">
              <wp:posOffset>843280</wp:posOffset>
            </wp:positionV>
            <wp:extent cx="3497580" cy="6940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2,060,000 Class A Ordinary Shares</w:t>
      </w: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3" w:name="page314"/>
    <w:bookmarkEnd w:id="3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Officers and Employees.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Delaware General Corporation Law for a Delaware corporation.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Section 4(a)(2) of the Securities Act regarding transactions not involving a public offering and/or Regulation S promulgated thereunder regarding offshore offers and sales.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Group issued 6,712 Class A Ordinary Shares to share option holders as a result of exercise of share options. For the year ended December 31, 2021, the Group issued 4,000 and 19,016 Class A Ordinary Shares to warrant holders and share option holders respectively as a result of exercise of warrants or options. For the year ended December 31, 2020, the Group issued 31,351 and 1,233 Class A Ordinary Shares to warrant holders and share option holders respectively as a result of exercise of warrants or options.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9, 2022, the Group entered into a Securities Purchase Agreement (the “Agreement”) with Aenco Technologies Ltd (“Note holder”). Pursuant to the Agreement, the Note holder is purchasing a convertible note in the original principal amount of $3,000,000 (the “Note”). The Note is unsecured, convertible into the Company’s restricted Class A Ordinary Shares at the Note holder option. The Notes will have a maturity date of 12 months subject to the Note holder’s extension, a bullet interest rate of 7% per annum, and a conversion price of $12.0 per Class A Ordinary share. The Company shall have an obligation to repay the principal amount and interest of the Note on the maturity date in cash or in unregistered Class A Ordinary Shares or a combination of such at the Company’s discretion. In April 2023, the convertible note was sold to third parties and was fully converted into 250,000 Class A Ordinary Shares.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28, 2023, the Company entered into a securities purchase agreement with 4 investors. Pursuant to the securities purchase agreement, the investors are purchasing a convertible note in the original principal amount of $3,000,000 (the “June 2023 Note”). The whole proceeds from the June 2023 Note were used to settle a related party loan. The June 2023 Note is unsecured, convertible into the Company’s restricted Class A Ordinary Shares at the Note holder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4" w:name="page315"/>
    <w:bookmarkEnd w:id="3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exhibits of the registration statement are listed in the Exhibit Index to this prospectus and are incorporated herein by reference.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consolidated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jc w:val="both"/>
        <w:ind w:left="980"/>
        <w:spacing w:after="0" w:line="266" w:lineRule="auto"/>
        <w:tabs>
          <w:tab w:leader="none" w:pos="123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prospectus:</w:t>
      </w:r>
    </w:p>
    <w:p>
      <w:pPr>
        <w:spacing w:after="0" w:line="225" w:lineRule="exact"/>
        <w:rPr>
          <w:rFonts w:ascii="Times New Roman" w:cs="Times New Roman" w:eastAsia="Times New Roman" w:hAnsi="Times New Roman"/>
          <w:sz w:val="18"/>
          <w:szCs w:val="18"/>
          <w:color w:val="auto"/>
        </w:rPr>
      </w:pPr>
    </w:p>
    <w:p>
      <w:pPr>
        <w:ind w:left="2520" w:hanging="244"/>
        <w:spacing w:after="0"/>
        <w:tabs>
          <w:tab w:leader="none" w:pos="25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5" w:name="page316"/>
    <w:bookmarkEnd w:id="315"/>
    <w:p>
      <w:pPr>
        <w:jc w:val="both"/>
        <w:ind w:left="640" w:right="20" w:firstLine="656"/>
        <w:spacing w:after="0" w:line="255" w:lineRule="auto"/>
        <w:tabs>
          <w:tab w:leader="none" w:pos="1552"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prospectus.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40" w:firstLine="656"/>
        <w:spacing w:after="0" w:line="282" w:lineRule="auto"/>
        <w:tabs>
          <w:tab w:leader="none" w:pos="154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spacing w:after="0" w:line="282" w:lineRule="auto"/>
        <w:tabs>
          <w:tab w:leader="none" w:pos="27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spacing w:after="0" w:line="258" w:lineRule="auto"/>
        <w:tabs>
          <w:tab w:leader="none" w:pos="2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“8.A. of Form 20-F (17 CFR 249.220f)”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rFonts w:ascii="Times New Roman" w:cs="Times New Roman" w:eastAsia="Times New Roman" w:hAnsi="Times New Roman"/>
          <w:sz w:val="18"/>
          <w:szCs w:val="18"/>
          <w:color w:val="auto"/>
        </w:rPr>
      </w:pPr>
    </w:p>
    <w:p>
      <w:pPr>
        <w:jc w:val="both"/>
        <w:spacing w:after="0" w:line="266" w:lineRule="auto"/>
        <w:tabs>
          <w:tab w:leader="none" w:pos="2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prospectus in reliance upon Rule 430A and contained in a form of prospectus filed by the Registrant pursuant to Rule 424(b)(1) or (4), or 497(h) under the Securities Act shall be deemed to be part of this prospectus as of the time it was declared effective.</w:t>
      </w:r>
    </w:p>
    <w:p>
      <w:pPr>
        <w:spacing w:after="0" w:line="175" w:lineRule="exact"/>
        <w:rPr>
          <w:rFonts w:ascii="Times New Roman" w:cs="Times New Roman" w:eastAsia="Times New Roman" w:hAnsi="Times New Roman"/>
          <w:sz w:val="18"/>
          <w:szCs w:val="18"/>
          <w:color w:val="auto"/>
        </w:rPr>
      </w:pPr>
    </w:p>
    <w:p>
      <w:pPr>
        <w:jc w:val="both"/>
        <w:spacing w:after="0" w:line="266" w:lineRule="auto"/>
        <w:tabs>
          <w:tab w:leader="none" w:pos="27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877" w:right="339"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prospectus to be signed on its behalf by the undersigned, thereunto duly authorized, in the City of New York, State of New York, on May 28,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Ian Huen</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 and the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prospectus has been signed by the following persons in the capacities set forth below on May 28, 2026.</w:t>
      </w:r>
    </w:p>
    <w:p>
      <w:pPr>
        <w:sectPr>
          <w:pgSz w:w="11900" w:h="16838" w:orient="portrait"/>
          <w:cols w:equalWidth="0" w:num="1">
            <w:col w:w="11240"/>
          </w:cols>
          <w:pgMar w:left="320" w:top="873" w:right="339"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Ian Huen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 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 K. Wong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Douglas Arner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Justin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Justin Wu</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Finance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29" w:lineRule="exact"/>
        <w:rPr>
          <w:sz w:val="20"/>
          <w:szCs w:val="20"/>
          <w:color w:val="auto"/>
        </w:rPr>
      </w:pPr>
    </w:p>
    <w:p>
      <w:pPr>
        <w:sectPr>
          <w:pgSz w:w="11900" w:h="16838" w:orient="portrait"/>
          <w:cols w:equalWidth="0" w:num="2">
            <w:col w:w="3900" w:space="720"/>
            <w:col w:w="6620"/>
          </w:cols>
          <w:pgMar w:left="320" w:top="87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17" w:name="page318"/>
    <w:bookmarkEnd w:id="3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Registrant’s duly authorized representative has signed this prospectus on Form F-1 in the City of New York, State of New York, on May 28,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Louis Taubman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Louis Taubman</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8" w:name="page319"/>
    <w:bookmarkEnd w:id="3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ind w:left="660" w:right="4620" w:hanging="652"/>
        <w:spacing w:after="0" w:line="499" w:lineRule="auto"/>
        <w:tabs>
          <w:tab w:leader="none" w:pos="25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included herein or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documents are filed as part of this registration statement:</w:t>
      </w:r>
    </w:p>
    <w:p>
      <w:pPr>
        <w:sectPr>
          <w:pgSz w:w="11900" w:h="16838" w:orient="portrait"/>
          <w:cols w:equalWidth="0" w:num="1">
            <w:col w:w="11240"/>
          </w:cols>
          <w:pgMar w:left="320" w:top="873"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19685</wp:posOffset>
            </wp:positionV>
            <wp:extent cx="7132320" cy="179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7" w:lineRule="auto"/>
        <w:rPr>
          <w:sz w:val="20"/>
          <w:szCs w:val="20"/>
          <w:color w:val="auto"/>
        </w:rPr>
      </w:pPr>
      <w:r>
        <w:rPr>
          <w:rFonts w:ascii="Times New Roman" w:cs="Times New Roman" w:eastAsia="Times New Roman" w:hAnsi="Times New Roman"/>
          <w:sz w:val="18"/>
          <w:szCs w:val="18"/>
          <w:color w:val="auto"/>
        </w:rPr>
        <w:t>Form of Placement Agent Agreement</w:t>
      </w:r>
      <w:r>
        <w:rPr>
          <w:rFonts w:ascii="Times New Roman" w:cs="Times New Roman" w:eastAsia="Times New Roman" w:hAnsi="Times New Roman"/>
          <w:sz w:val="29"/>
          <w:szCs w:val="29"/>
          <w:color w:val="auto"/>
          <w:vertAlign w:val="superscript"/>
        </w:rPr>
        <w:t>(7)</w:t>
      </w:r>
    </w:p>
    <w:p>
      <w:pPr>
        <w:spacing w:after="0" w:line="185" w:lineRule="auto"/>
        <w:rPr>
          <w:rFonts w:ascii="Times New Roman" w:cs="Times New Roman" w:eastAsia="Times New Roman" w:hAnsi="Times New Roman"/>
          <w:sz w:val="18"/>
          <w:szCs w:val="18"/>
          <w:u w:val="single" w:color="auto"/>
          <w:color w:val="0000EE"/>
        </w:rPr>
      </w:pPr>
      <w:hyperlink r:id="rId396">
        <w:r>
          <w:rPr>
            <w:rFonts w:ascii="Times New Roman" w:cs="Times New Roman" w:eastAsia="Times New Roman" w:hAnsi="Times New Roman"/>
            <w:sz w:val="18"/>
            <w:szCs w:val="18"/>
            <w:u w:val="single" w:color="auto"/>
            <w:color w:val="0000EE"/>
          </w:rPr>
          <w:t>Third Amended and Restated Memorandum and Articles of Association of Aptorum Group Limited, as amended</w:t>
        </w:r>
        <w:r>
          <w:rPr>
            <w:rFonts w:ascii="Times New Roman" w:cs="Times New Roman" w:eastAsia="Times New Roman" w:hAnsi="Times New Roman"/>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398">
        <w:r>
          <w:rPr>
            <w:rFonts w:ascii="Times New Roman" w:cs="Times New Roman" w:eastAsia="Times New Roman" w:hAnsi="Times New Roman"/>
            <w:sz w:val="18"/>
            <w:szCs w:val="18"/>
            <w:u w:val="single" w:color="auto"/>
            <w:color w:val="0000EE"/>
          </w:rPr>
          <w:t>Specimen Ordinary Share Certificate*</w:t>
        </w:r>
      </w:hyperlink>
    </w:p>
    <w:p>
      <w:pPr>
        <w:spacing w:after="0" w:line="190" w:lineRule="auto"/>
        <w:rPr>
          <w:rFonts w:ascii="Times New Roman" w:cs="Times New Roman" w:eastAsia="Times New Roman" w:hAnsi="Times New Roman"/>
          <w:sz w:val="18"/>
          <w:szCs w:val="18"/>
          <w:u w:val="single" w:color="auto"/>
          <w:color w:val="0000EE"/>
        </w:rPr>
      </w:pPr>
      <w:hyperlink r:id="rId399">
        <w:r>
          <w:rPr>
            <w:rFonts w:ascii="Times New Roman" w:cs="Times New Roman" w:eastAsia="Times New Roman" w:hAnsi="Times New Roman"/>
            <w:sz w:val="18"/>
            <w:szCs w:val="18"/>
            <w:u w:val="single" w:color="auto"/>
            <w:color w:val="0000EE"/>
          </w:rPr>
          <w:t>Form of Warrant</w:t>
        </w:r>
        <w:r>
          <w:rPr>
            <w:rFonts w:ascii="Times New Roman" w:cs="Times New Roman" w:eastAsia="Times New Roman" w:hAnsi="Times New Roman"/>
            <w:sz w:val="29"/>
            <w:szCs w:val="2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01">
        <w:r>
          <w:rPr>
            <w:rFonts w:ascii="Times New Roman" w:cs="Times New Roman" w:eastAsia="Times New Roman" w:hAnsi="Times New Roman"/>
            <w:sz w:val="18"/>
            <w:szCs w:val="18"/>
            <w:u w:val="single" w:color="auto"/>
            <w:color w:val="0000EE"/>
          </w:rPr>
          <w:t>Form of Placement Agent Warrant</w:t>
        </w:r>
        <w:r>
          <w:rPr>
            <w:rFonts w:ascii="Times New Roman" w:cs="Times New Roman" w:eastAsia="Times New Roman" w:hAnsi="Times New Roman"/>
            <w:sz w:val="29"/>
            <w:szCs w:val="29"/>
            <w:u w:val="single" w:color="auto"/>
            <w:color w:val="0000EE"/>
            <w:vertAlign w:val="superscript"/>
          </w:rPr>
          <w:t>(6)</w:t>
        </w:r>
      </w:hyperlink>
    </w:p>
    <w:p>
      <w:pPr>
        <w:spacing w:after="0" w:line="185" w:lineRule="auto"/>
        <w:rPr>
          <w:rFonts w:ascii="Times New Roman" w:cs="Times New Roman" w:eastAsia="Times New Roman" w:hAnsi="Times New Roman"/>
          <w:sz w:val="18"/>
          <w:szCs w:val="18"/>
          <w:u w:val="single" w:color="auto"/>
          <w:color w:val="0000EE"/>
        </w:rPr>
      </w:pPr>
      <w:hyperlink r:id="rId402">
        <w:r>
          <w:rPr>
            <w:rFonts w:ascii="Times New Roman" w:cs="Times New Roman" w:eastAsia="Times New Roman" w:hAnsi="Times New Roman"/>
            <w:sz w:val="18"/>
            <w:szCs w:val="18"/>
            <w:u w:val="single" w:color="auto"/>
            <w:color w:val="0000EE"/>
          </w:rPr>
          <w:t>Form of Restricted Warrant</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rFonts w:ascii="Times New Roman" w:cs="Times New Roman" w:eastAsia="Times New Roman" w:hAnsi="Times New Roman"/>
          <w:sz w:val="18"/>
          <w:szCs w:val="18"/>
          <w:u w:val="single" w:color="auto"/>
          <w:color w:val="0000EE"/>
        </w:rPr>
      </w:pPr>
      <w:hyperlink r:id="rId404">
        <w:r>
          <w:rPr>
            <w:rFonts w:ascii="Times New Roman" w:cs="Times New Roman" w:eastAsia="Times New Roman" w:hAnsi="Times New Roman"/>
            <w:sz w:val="18"/>
            <w:szCs w:val="18"/>
            <w:u w:val="single" w:color="auto"/>
            <w:color w:val="0000EE"/>
          </w:rPr>
          <w:t>Form of Placement Agent Warrant dated as of October 14, 2025</w:t>
        </w:r>
        <w:r>
          <w:rPr>
            <w:rFonts w:ascii="Times New Roman" w:cs="Times New Roman" w:eastAsia="Times New Roman" w:hAnsi="Times New Roman"/>
            <w:sz w:val="29"/>
            <w:szCs w:val="29"/>
            <w:u w:val="single" w:color="auto"/>
            <w:color w:val="0000EE"/>
            <w:vertAlign w:val="superscript"/>
          </w:rPr>
          <w:t>(21a)</w:t>
        </w:r>
      </w:hyperlink>
    </w:p>
    <w:p>
      <w:pPr>
        <w:spacing w:after="0" w:line="185" w:lineRule="auto"/>
        <w:rPr>
          <w:rFonts w:ascii="Times New Roman" w:cs="Times New Roman" w:eastAsia="Times New Roman" w:hAnsi="Times New Roman"/>
          <w:sz w:val="18"/>
          <w:szCs w:val="18"/>
          <w:u w:val="single" w:color="auto"/>
          <w:color w:val="0000EE"/>
        </w:rPr>
      </w:pPr>
      <w:hyperlink r:id="rId405">
        <w:r>
          <w:rPr>
            <w:rFonts w:ascii="Times New Roman" w:cs="Times New Roman" w:eastAsia="Times New Roman" w:hAnsi="Times New Roman"/>
            <w:sz w:val="18"/>
            <w:szCs w:val="18"/>
            <w:u w:val="single" w:color="auto"/>
            <w:color w:val="0000EE"/>
          </w:rPr>
          <w:t>Opinion of Campbells regarding the validity of Class A Ordinary Shares being registered</w:t>
        </w:r>
        <w:r>
          <w:rPr>
            <w:rFonts w:ascii="Times New Roman" w:cs="Times New Roman" w:eastAsia="Times New Roman" w:hAnsi="Times New Roman"/>
            <w:sz w:val="29"/>
            <w:szCs w:val="29"/>
            <w:u w:val="single" w:color="auto"/>
            <w:color w:val="0000EE"/>
            <w:vertAlign w:val="superscript"/>
          </w:rPr>
          <w:t>(21a)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07">
        <w:r>
          <w:rPr>
            <w:rFonts w:ascii="Times New Roman" w:cs="Times New Roman" w:eastAsia="Times New Roman" w:hAnsi="Times New Roman"/>
            <w:sz w:val="18"/>
            <w:szCs w:val="18"/>
            <w:u w:val="single" w:color="auto"/>
            <w:color w:val="0000EE"/>
          </w:rPr>
          <w:t xml:space="preserve">Opinion of Hunter Taubman Fischer &amp; Li LLC regarding the validity of Class A Ordinary Shares being registered </w:t>
        </w:r>
        <w:r>
          <w:rPr>
            <w:rFonts w:ascii="Times New Roman" w:cs="Times New Roman" w:eastAsia="Times New Roman" w:hAnsi="Times New Roman"/>
            <w:sz w:val="29"/>
            <w:szCs w:val="29"/>
            <w:u w:val="single" w:color="auto"/>
            <w:color w:val="0000EE"/>
            <w:vertAlign w:val="superscript"/>
          </w:rPr>
          <w:t>(21a)</w:t>
        </w:r>
      </w:hyperlink>
    </w:p>
    <w:p>
      <w:pPr>
        <w:spacing w:after="0"/>
        <w:rPr>
          <w:rFonts w:ascii="Times New Roman" w:cs="Times New Roman" w:eastAsia="Times New Roman" w:hAnsi="Times New Roman"/>
          <w:sz w:val="18"/>
          <w:szCs w:val="18"/>
          <w:u w:val="single" w:color="auto"/>
          <w:color w:val="0000EE"/>
        </w:rPr>
      </w:pPr>
      <w:hyperlink r:id="rId408">
        <w:r>
          <w:rPr>
            <w:rFonts w:ascii="Times New Roman" w:cs="Times New Roman" w:eastAsia="Times New Roman" w:hAnsi="Times New Roman"/>
            <w:sz w:val="18"/>
            <w:szCs w:val="18"/>
            <w:u w:val="single" w:color="auto"/>
            <w:color w:val="0000EE"/>
          </w:rPr>
          <w:t>Employment Agreement between the Company and Justin Wu (Independent Non-Executive Director), dated September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wp:posOffset>
            </wp:positionV>
            <wp:extent cx="713232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410">
        <w:r>
          <w:rPr>
            <w:rFonts w:ascii="Times New Roman" w:cs="Times New Roman" w:eastAsia="Times New Roman" w:hAnsi="Times New Roman"/>
            <w:sz w:val="18"/>
            <w:szCs w:val="18"/>
            <w:u w:val="single" w:color="auto"/>
            <w:color w:val="0000EE"/>
          </w:rPr>
          <w:t>Employment Agreement between the Company and Douglas Arner (Independent Non-Executive Director), dated February 13, 2018*</w:t>
        </w:r>
      </w:hyperlink>
    </w:p>
    <w:p>
      <w:pPr>
        <w:spacing w:after="0" w:line="192" w:lineRule="auto"/>
        <w:rPr>
          <w:rFonts w:ascii="Times New Roman" w:cs="Times New Roman" w:eastAsia="Times New Roman" w:hAnsi="Times New Roman"/>
          <w:sz w:val="18"/>
          <w:szCs w:val="18"/>
          <w:u w:val="single" w:color="auto"/>
          <w:color w:val="0000EE"/>
        </w:rPr>
      </w:pPr>
      <w:hyperlink r:id="rId411">
        <w:r>
          <w:rPr>
            <w:rFonts w:ascii="Times New Roman" w:cs="Times New Roman" w:eastAsia="Times New Roman" w:hAnsi="Times New Roman"/>
            <w:sz w:val="18"/>
            <w:szCs w:val="18"/>
            <w:u w:val="single" w:color="auto"/>
            <w:color w:val="0000EE"/>
          </w:rPr>
          <w:t>2017 Share Option Plan, as amended</w:t>
        </w:r>
        <w:r>
          <w:rPr>
            <w:rFonts w:ascii="Times New Roman" w:cs="Times New Roman" w:eastAsia="Times New Roman" w:hAnsi="Times New Roman"/>
            <w:sz w:val="29"/>
            <w:szCs w:val="29"/>
            <w:u w:val="single" w:color="auto"/>
            <w:color w:val="0000EE"/>
            <w:vertAlign w:val="superscript"/>
          </w:rPr>
          <w:t>(15a)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413">
        <w:r>
          <w:rPr>
            <w:rFonts w:ascii="Times New Roman" w:cs="Times New Roman" w:eastAsia="Times New Roman" w:hAnsi="Times New Roman"/>
            <w:sz w:val="18"/>
            <w:szCs w:val="18"/>
            <w:u w:val="single" w:color="auto"/>
            <w:color w:val="0000EE"/>
          </w:rPr>
          <w:t>Service Agreement Between Covar Pharmaceuticals Incorporated and Videns Incorporation Limited*</w:t>
        </w:r>
      </w:hyperlink>
    </w:p>
    <w:p>
      <w:pPr>
        <w:spacing w:after="0" w:line="191" w:lineRule="auto"/>
        <w:rPr>
          <w:rFonts w:ascii="Times New Roman" w:cs="Times New Roman" w:eastAsia="Times New Roman" w:hAnsi="Times New Roman"/>
          <w:sz w:val="18"/>
          <w:szCs w:val="18"/>
          <w:u w:val="single" w:color="auto"/>
          <w:color w:val="0000EE"/>
        </w:rPr>
      </w:pPr>
      <w:hyperlink r:id="rId414">
        <w:r>
          <w:rPr>
            <w:rFonts w:ascii="Times New Roman" w:cs="Times New Roman" w:eastAsia="Times New Roman" w:hAnsi="Times New Roman"/>
            <w:sz w:val="18"/>
            <w:szCs w:val="18"/>
            <w:u w:val="single" w:color="auto"/>
            <w:color w:val="0000EE"/>
          </w:rPr>
          <w:t>Exclusive Patent License Agreement for ALS-4 dated October 18, 2017</w:t>
        </w:r>
        <w:r>
          <w:rPr>
            <w:rFonts w:ascii="Times New Roman" w:cs="Times New Roman" w:eastAsia="Times New Roman" w:hAnsi="Times New Roman"/>
            <w:sz w:val="29"/>
            <w:szCs w:val="29"/>
            <w:u w:val="single" w:color="auto"/>
            <w:color w:val="0000EE"/>
            <w:vertAlign w:val="superscript"/>
          </w:rPr>
          <w:t>(3a)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416">
        <w:r>
          <w:rPr>
            <w:rFonts w:ascii="Times New Roman" w:cs="Times New Roman" w:eastAsia="Times New Roman" w:hAnsi="Times New Roman"/>
            <w:sz w:val="18"/>
            <w:szCs w:val="18"/>
            <w:u w:val="single" w:color="auto"/>
            <w:color w:val="0000EE"/>
          </w:rPr>
          <w:t>First Amendment to Exclusive License Agreement for ALS-4 dated June 7, 2018*</w:t>
        </w:r>
      </w:hyperlink>
    </w:p>
    <w:p>
      <w:pPr>
        <w:spacing w:after="0" w:line="190" w:lineRule="auto"/>
        <w:rPr>
          <w:sz w:val="20"/>
          <w:szCs w:val="20"/>
          <w:color w:val="auto"/>
        </w:rPr>
      </w:pPr>
      <w:r>
        <w:rPr>
          <w:rFonts w:ascii="Times New Roman" w:cs="Times New Roman" w:eastAsia="Times New Roman" w:hAnsi="Times New Roman"/>
          <w:sz w:val="18"/>
          <w:szCs w:val="18"/>
          <w:color w:val="auto"/>
        </w:rPr>
        <w:t>Second Amendment to Exclusive License Agreement for ALS-4 dated July 10, 2019</w:t>
      </w:r>
      <w:r>
        <w:rPr>
          <w:rFonts w:ascii="Times New Roman" w:cs="Times New Roman" w:eastAsia="Times New Roman" w:hAnsi="Times New Roman"/>
          <w:sz w:val="29"/>
          <w:szCs w:val="29"/>
          <w:color w:val="auto"/>
          <w:vertAlign w:val="superscript"/>
        </w:rPr>
        <w:t>(6a)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18">
        <w:r>
          <w:rPr>
            <w:rFonts w:ascii="Times New Roman" w:cs="Times New Roman" w:eastAsia="Times New Roman" w:hAnsi="Times New Roman"/>
            <w:sz w:val="18"/>
            <w:szCs w:val="18"/>
            <w:u w:val="single" w:color="auto"/>
            <w:color w:val="0000EE"/>
          </w:rPr>
          <w:t>Exclusive License Agreement for ALS-4 dated January 11, 2019</w:t>
        </w:r>
        <w:r>
          <w:rPr>
            <w:rFonts w:ascii="Times New Roman" w:cs="Times New Roman" w:eastAsia="Times New Roman" w:hAnsi="Times New Roman"/>
            <w:sz w:val="29"/>
            <w:szCs w:val="29"/>
            <w:u w:val="single" w:color="auto"/>
            <w:color w:val="0000EE"/>
            <w:vertAlign w:val="superscript"/>
          </w:rPr>
          <w:t>(4a)</w:t>
        </w:r>
      </w:hyperlink>
    </w:p>
    <w:p>
      <w:pPr>
        <w:spacing w:after="0" w:line="1" w:lineRule="exact"/>
        <w:rPr>
          <w:sz w:val="20"/>
          <w:szCs w:val="20"/>
          <w:color w:val="auto"/>
        </w:rPr>
      </w:pPr>
    </w:p>
    <w:p>
      <w:pPr>
        <w:spacing w:after="0" w:line="209" w:lineRule="auto"/>
        <w:rPr>
          <w:rFonts w:ascii="Times New Roman" w:cs="Times New Roman" w:eastAsia="Times New Roman" w:hAnsi="Times New Roman"/>
          <w:sz w:val="18"/>
          <w:szCs w:val="18"/>
          <w:u w:val="single" w:color="auto"/>
          <w:color w:val="0000EE"/>
        </w:rPr>
      </w:pPr>
      <w:hyperlink r:id="rId419">
        <w:r>
          <w:rPr>
            <w:rFonts w:ascii="Times New Roman" w:cs="Times New Roman" w:eastAsia="Times New Roman" w:hAnsi="Times New Roman"/>
            <w:sz w:val="18"/>
            <w:szCs w:val="18"/>
            <w:u w:val="single" w:color="auto"/>
            <w:color w:val="0000EE"/>
          </w:rPr>
          <w:t>Master Collaboration Agreement by and between the Company, A*ccelerate Technologies Pte. Ltd, and AENEAS CAPITAL LIMITED</w:t>
        </w:r>
      </w:hyperlink>
      <w:r>
        <w:rPr>
          <w:rFonts w:ascii="Times New Roman" w:cs="Times New Roman" w:eastAsia="Times New Roman" w:hAnsi="Times New Roman"/>
          <w:sz w:val="18"/>
          <w:szCs w:val="18"/>
          <w:u w:val="single" w:color="auto"/>
          <w:color w:val="0000EE"/>
        </w:rPr>
        <w:t xml:space="preserve"> </w:t>
      </w:r>
      <w:hyperlink r:id="rId419">
        <w:r>
          <w:rPr>
            <w:rFonts w:ascii="Times New Roman" w:cs="Times New Roman" w:eastAsia="Times New Roman" w:hAnsi="Times New Roman"/>
            <w:sz w:val="18"/>
            <w:szCs w:val="18"/>
            <w:u w:val="single" w:color="auto"/>
            <w:color w:val="0000EE"/>
          </w:rPr>
          <w:t>dated April 24, 2019</w:t>
        </w:r>
        <w:r>
          <w:rPr>
            <w:rFonts w:ascii="Times New Roman" w:cs="Times New Roman" w:eastAsia="Times New Roman" w:hAnsi="Times New Roman"/>
            <w:sz w:val="29"/>
            <w:szCs w:val="29"/>
            <w:u w:val="single" w:color="auto"/>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21">
        <w:r>
          <w:rPr>
            <w:rFonts w:ascii="Times New Roman" w:cs="Times New Roman" w:eastAsia="Times New Roman" w:hAnsi="Times New Roman"/>
            <w:sz w:val="18"/>
            <w:szCs w:val="18"/>
            <w:u w:val="single" w:color="auto"/>
            <w:color w:val="0000EE"/>
          </w:rPr>
          <w:t>Bond Repurchase Agreement dated April 24, 2019</w:t>
        </w:r>
        <w:r>
          <w:rPr>
            <w:rFonts w:ascii="Times New Roman" w:cs="Times New Roman" w:eastAsia="Times New Roman" w:hAnsi="Times New Roman"/>
            <w:sz w:val="29"/>
            <w:szCs w:val="29"/>
            <w:u w:val="single" w:color="auto"/>
            <w:color w:val="0000EE"/>
            <w:vertAlign w:val="superscript"/>
          </w:rPr>
          <w:t>(+)</w:t>
        </w:r>
      </w:hyperlink>
    </w:p>
    <w:p>
      <w:pPr>
        <w:spacing w:after="0" w:line="185" w:lineRule="auto"/>
        <w:rPr>
          <w:rFonts w:ascii="Times New Roman" w:cs="Times New Roman" w:eastAsia="Times New Roman" w:hAnsi="Times New Roman"/>
          <w:sz w:val="18"/>
          <w:szCs w:val="18"/>
          <w:u w:val="single" w:color="auto"/>
          <w:color w:val="0000EE"/>
        </w:rPr>
      </w:pPr>
      <w:hyperlink r:id="rId422">
        <w:r>
          <w:rPr>
            <w:rFonts w:ascii="Times New Roman" w:cs="Times New Roman" w:eastAsia="Times New Roman" w:hAnsi="Times New Roman"/>
            <w:sz w:val="18"/>
            <w:szCs w:val="18"/>
            <w:u w:val="single" w:color="auto"/>
            <w:color w:val="0000EE"/>
          </w:rPr>
          <w:t>Form of Line of Credit Agreement</w:t>
        </w:r>
        <w:r>
          <w:rPr>
            <w:rFonts w:ascii="Times New Roman" w:cs="Times New Roman" w:eastAsia="Times New Roman" w:hAnsi="Times New Roman"/>
            <w:sz w:val="29"/>
            <w:szCs w:val="29"/>
            <w:u w:val="single" w:color="auto"/>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rFonts w:ascii="Times New Roman" w:cs="Times New Roman" w:eastAsia="Times New Roman" w:hAnsi="Times New Roman"/>
          <w:sz w:val="18"/>
          <w:szCs w:val="18"/>
          <w:u w:val="single" w:color="auto"/>
          <w:color w:val="0000EE"/>
        </w:rPr>
      </w:pPr>
      <w:hyperlink r:id="rId424">
        <w:r>
          <w:rPr>
            <w:rFonts w:ascii="Times New Roman" w:cs="Times New Roman" w:eastAsia="Times New Roman" w:hAnsi="Times New Roman"/>
            <w:sz w:val="18"/>
            <w:szCs w:val="18"/>
            <w:u w:val="single" w:color="auto"/>
            <w:color w:val="0000EE"/>
          </w:rPr>
          <w:t>Form of Promissory Note</w:t>
        </w:r>
        <w:r>
          <w:rPr>
            <w:rFonts w:ascii="Times New Roman" w:cs="Times New Roman" w:eastAsia="Times New Roman" w:hAnsi="Times New Roman"/>
            <w:sz w:val="29"/>
            <w:szCs w:val="29"/>
            <w:u w:val="single" w:color="auto"/>
            <w:color w:val="0000EE"/>
            <w:vertAlign w:val="superscript"/>
          </w:rPr>
          <w:t>(++++)</w:t>
        </w:r>
      </w:hyperlink>
    </w:p>
    <w:p>
      <w:pPr>
        <w:spacing w:after="0" w:line="185" w:lineRule="auto"/>
        <w:rPr>
          <w:rFonts w:ascii="Times New Roman" w:cs="Times New Roman" w:eastAsia="Times New Roman" w:hAnsi="Times New Roman"/>
          <w:sz w:val="18"/>
          <w:szCs w:val="18"/>
          <w:u w:val="single" w:color="auto"/>
          <w:color w:val="0000EE"/>
        </w:rPr>
      </w:pPr>
      <w:hyperlink r:id="rId425">
        <w:r>
          <w:rPr>
            <w:rFonts w:ascii="Times New Roman" w:cs="Times New Roman" w:eastAsia="Times New Roman" w:hAnsi="Times New Roman"/>
            <w:sz w:val="18"/>
            <w:szCs w:val="18"/>
            <w:u w:val="single" w:color="auto"/>
            <w:color w:val="0000EE"/>
          </w:rPr>
          <w:t>Form of Securities Purchase Agreement</w:t>
        </w:r>
        <w:r>
          <w:rPr>
            <w:rFonts w:ascii="Times New Roman" w:cs="Times New Roman" w:eastAsia="Times New Roman" w:hAnsi="Times New Roman"/>
            <w:sz w:val="29"/>
            <w:szCs w:val="29"/>
            <w:u w:val="single" w:color="auto"/>
            <w:color w:val="0000EE"/>
            <w:vertAlign w:val="superscript"/>
          </w:rPr>
          <w:t>(8a)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27">
        <w:r>
          <w:rPr>
            <w:rFonts w:ascii="Times New Roman" w:cs="Times New Roman" w:eastAsia="Times New Roman" w:hAnsi="Times New Roman"/>
            <w:sz w:val="18"/>
            <w:szCs w:val="18"/>
            <w:u w:val="single" w:color="auto"/>
            <w:color w:val="0000EE"/>
          </w:rPr>
          <w:t>Form of Warrant</w:t>
        </w:r>
        <w:r>
          <w:rPr>
            <w:rFonts w:ascii="Times New Roman" w:cs="Times New Roman" w:eastAsia="Times New Roman" w:hAnsi="Times New Roman"/>
            <w:sz w:val="29"/>
            <w:szCs w:val="29"/>
            <w:u w:val="single" w:color="auto"/>
            <w:color w:val="0000EE"/>
            <w:vertAlign w:val="superscript"/>
          </w:rPr>
          <w:t>(8a)</w:t>
        </w:r>
      </w:hyperlink>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wp:posOffset>
            </wp:positionV>
            <wp:extent cx="71323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62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2" w:lineRule="auto"/>
        <w:rPr>
          <w:rFonts w:ascii="Times New Roman" w:cs="Times New Roman" w:eastAsia="Times New Roman" w:hAnsi="Times New Roman"/>
          <w:sz w:val="18"/>
          <w:szCs w:val="18"/>
          <w:u w:val="single" w:color="auto"/>
          <w:color w:val="0000EE"/>
        </w:rPr>
      </w:pPr>
      <w:hyperlink r:id="rId431">
        <w:r>
          <w:rPr>
            <w:rFonts w:ascii="Times New Roman" w:cs="Times New Roman" w:eastAsia="Times New Roman" w:hAnsi="Times New Roman"/>
            <w:sz w:val="18"/>
            <w:szCs w:val="18"/>
            <w:u w:val="single" w:color="auto"/>
            <w:color w:val="0000EE"/>
          </w:rPr>
          <w:t>At The Market Offering Agreement, dated March 26, 2021 between the Company and H.C. Wainwright</w:t>
        </w:r>
        <w:r>
          <w:rPr>
            <w:rFonts w:ascii="Times New Roman" w:cs="Times New Roman" w:eastAsia="Times New Roman" w:hAnsi="Times New Roman"/>
            <w:sz w:val="29"/>
            <w:szCs w:val="29"/>
            <w:u w:val="single" w:color="auto"/>
            <w:color w:val="0000EE"/>
            <w:vertAlign w:val="superscript"/>
          </w:rPr>
          <w:t>(10a)</w:t>
        </w:r>
      </w:hyperlink>
    </w:p>
    <w:p>
      <w:pPr>
        <w:spacing w:after="0" w:line="184" w:lineRule="auto"/>
        <w:rPr>
          <w:rFonts w:ascii="Times New Roman" w:cs="Times New Roman" w:eastAsia="Times New Roman" w:hAnsi="Times New Roman"/>
          <w:sz w:val="18"/>
          <w:szCs w:val="18"/>
          <w:u w:val="single" w:color="auto"/>
          <w:color w:val="0000EE"/>
        </w:rPr>
      </w:pPr>
      <w:hyperlink r:id="rId432">
        <w:r>
          <w:rPr>
            <w:rFonts w:ascii="Times New Roman" w:cs="Times New Roman" w:eastAsia="Times New Roman" w:hAnsi="Times New Roman"/>
            <w:sz w:val="18"/>
            <w:szCs w:val="18"/>
            <w:u w:val="single" w:color="auto"/>
            <w:color w:val="0000EE"/>
          </w:rPr>
          <w:t>Share Subscription and Shareholders Agreement dated as of September 25, 2020</w:t>
        </w:r>
        <w:r>
          <w:rPr>
            <w:rFonts w:ascii="Times New Roman" w:cs="Times New Roman" w:eastAsia="Times New Roman" w:hAnsi="Times New Roman"/>
            <w:sz w:val="29"/>
            <w:szCs w:val="29"/>
            <w:u w:val="single" w:color="auto"/>
            <w:color w:val="0000EE"/>
            <w:vertAlign w:val="superscript"/>
          </w:rPr>
          <w:t>(11a,12a)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34">
        <w:r>
          <w:rPr>
            <w:rFonts w:ascii="Times New Roman" w:cs="Times New Roman" w:eastAsia="Times New Roman" w:hAnsi="Times New Roman"/>
            <w:sz w:val="18"/>
            <w:szCs w:val="18"/>
            <w:u w:val="single" w:color="auto"/>
            <w:color w:val="0000EE"/>
          </w:rPr>
          <w:t>Private Placement Shares Purchase Agreement with Jurchen Investment Corporation</w:t>
        </w:r>
        <w:r>
          <w:rPr>
            <w:rFonts w:ascii="Times New Roman" w:cs="Times New Roman" w:eastAsia="Times New Roman" w:hAnsi="Times New Roman"/>
            <w:sz w:val="29"/>
            <w:szCs w:val="29"/>
            <w:u w:val="single" w:color="auto"/>
            <w:color w:val="0000EE"/>
            <w:vertAlign w:val="superscript"/>
          </w:rPr>
          <w:t>(14a)</w:t>
        </w:r>
      </w:hyperlink>
    </w:p>
    <w:p>
      <w:pPr>
        <w:spacing w:after="0" w:line="184" w:lineRule="auto"/>
        <w:rPr>
          <w:rFonts w:ascii="Times New Roman" w:cs="Times New Roman" w:eastAsia="Times New Roman" w:hAnsi="Times New Roman"/>
          <w:sz w:val="18"/>
          <w:szCs w:val="18"/>
          <w:u w:val="single" w:color="auto"/>
          <w:color w:val="0000EE"/>
        </w:rPr>
      </w:pPr>
      <w:hyperlink r:id="rId435">
        <w:r>
          <w:rPr>
            <w:rFonts w:ascii="Times New Roman" w:cs="Times New Roman" w:eastAsia="Times New Roman" w:hAnsi="Times New Roman"/>
            <w:sz w:val="18"/>
            <w:szCs w:val="18"/>
            <w:u w:val="single" w:color="auto"/>
            <w:color w:val="0000EE"/>
          </w:rPr>
          <w:t xml:space="preserve">Form of Securities Purchase Agreement </w:t>
        </w:r>
        <w:r>
          <w:rPr>
            <w:rFonts w:ascii="Times New Roman" w:cs="Times New Roman" w:eastAsia="Times New Roman" w:hAnsi="Times New Roman"/>
            <w:sz w:val="29"/>
            <w:szCs w:val="29"/>
            <w:u w:val="single" w:color="auto"/>
            <w:color w:val="0000EE"/>
            <w:vertAlign w:val="superscript"/>
          </w:rPr>
          <w:t>(18a)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437">
        <w:r>
          <w:rPr>
            <w:rFonts w:ascii="Times New Roman" w:cs="Times New Roman" w:eastAsia="Times New Roman" w:hAnsi="Times New Roman"/>
            <w:sz w:val="18"/>
            <w:szCs w:val="18"/>
            <w:u w:val="single" w:color="auto"/>
            <w:color w:val="0000EE"/>
          </w:rPr>
          <w:t>Non-binding Letter of Intent</w:t>
        </w:r>
        <w:r>
          <w:rPr>
            <w:rFonts w:ascii="Times New Roman" w:cs="Times New Roman" w:eastAsia="Times New Roman" w:hAnsi="Times New Roman"/>
            <w:sz w:val="29"/>
            <w:szCs w:val="29"/>
            <w:u w:val="single" w:color="auto"/>
            <w:color w:val="0000EE"/>
            <w:vertAlign w:val="superscript"/>
          </w:rPr>
          <w:t>(20a)</w:t>
        </w:r>
      </w:hyperlink>
    </w:p>
    <w:p>
      <w:pPr>
        <w:spacing w:after="0" w:line="185" w:lineRule="auto"/>
        <w:rPr>
          <w:rFonts w:ascii="Times New Roman" w:cs="Times New Roman" w:eastAsia="Times New Roman" w:hAnsi="Times New Roman"/>
          <w:sz w:val="18"/>
          <w:szCs w:val="18"/>
          <w:u w:val="single" w:color="auto"/>
          <w:color w:val="0000EE"/>
        </w:rPr>
      </w:pPr>
      <w:hyperlink r:id="rId438">
        <w:r>
          <w:rPr>
            <w:rFonts w:ascii="Times New Roman" w:cs="Times New Roman" w:eastAsia="Times New Roman" w:hAnsi="Times New Roman"/>
            <w:sz w:val="18"/>
            <w:szCs w:val="18"/>
            <w:u w:val="single" w:color="auto"/>
            <w:color w:val="0000EE"/>
          </w:rPr>
          <w:t xml:space="preserve">Securities Purchase Agreement and Form of convertible note dated September 11, 2023 </w:t>
        </w:r>
        <w:r>
          <w:rPr>
            <w:rFonts w:ascii="Times New Roman" w:cs="Times New Roman" w:eastAsia="Times New Roman" w:hAnsi="Times New Roman"/>
            <w:sz w:val="29"/>
            <w:szCs w:val="29"/>
            <w:u w:val="single" w:color="auto"/>
            <w:color w:val="0000EE"/>
            <w:vertAlign w:val="superscript"/>
          </w:rPr>
          <w:t>(22a)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440">
        <w:r>
          <w:rPr>
            <w:rFonts w:ascii="Times New Roman" w:cs="Times New Roman" w:eastAsia="Times New Roman" w:hAnsi="Times New Roman"/>
            <w:sz w:val="18"/>
            <w:szCs w:val="18"/>
            <w:u w:val="single" w:color="auto"/>
            <w:color w:val="0000EE"/>
          </w:rPr>
          <w:t xml:space="preserve">Securities Purchase Agreement dated June 28, 2023 </w:t>
        </w:r>
      </w:hyperlink>
      <w:r>
        <w:rPr>
          <w:rFonts w:ascii="Times New Roman" w:cs="Times New Roman" w:eastAsia="Times New Roman" w:hAnsi="Times New Roman"/>
          <w:sz w:val="29"/>
          <w:szCs w:val="29"/>
          <w:u w:val="single" w:color="auto"/>
          <w:color w:val="0000EE"/>
          <w:vertAlign w:val="superscript"/>
        </w:rPr>
        <w:t>(23a)</w:t>
      </w:r>
    </w:p>
    <w:p>
      <w:pPr>
        <w:spacing w:after="0" w:line="200" w:lineRule="exact"/>
        <w:rPr>
          <w:sz w:val="20"/>
          <w:szCs w:val="20"/>
          <w:color w:val="auto"/>
        </w:rPr>
      </w:pPr>
    </w:p>
    <w:p>
      <w:pPr>
        <w:sectPr>
          <w:pgSz w:w="11900" w:h="16838" w:orient="portrait"/>
          <w:cols w:equalWidth="0" w:num="2">
            <w:col w:w="880" w:space="260"/>
            <w:col w:w="10100"/>
          </w:cols>
          <w:pgMar w:left="320" w:top="873" w:right="339" w:bottom="1440" w:gutter="0" w:footer="0" w:header="0"/>
          <w:type w:val="continuous"/>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19" w:name="page320"/>
    <w:bookmarkEnd w:id="319"/>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10.54</w:t>
            </w:r>
          </w:p>
        </w:tc>
        <w:tc>
          <w:tcPr>
            <w:tcW w:w="3920" w:type="dxa"/>
            <w:vAlign w:val="bottom"/>
            <w:tcBorders>
              <w:bottom w:val="single" w:sz="8" w:color="CCEEFF"/>
            </w:tcBorders>
            <w:gridSpan w:val="19"/>
            <w:vMerge w:val="restart"/>
            <w:shd w:val="clear" w:color="auto" w:fill="CCEEFF"/>
          </w:tcPr>
          <w:p>
            <w:pPr>
              <w:spacing w:after="0"/>
              <w:rPr>
                <w:rFonts w:ascii="Times New Roman" w:cs="Times New Roman" w:eastAsia="Times New Roman" w:hAnsi="Times New Roman"/>
                <w:sz w:val="18"/>
                <w:szCs w:val="18"/>
                <w:color w:val="0000EE"/>
              </w:rPr>
            </w:pPr>
            <w:hyperlink r:id="rId442">
              <w:r>
                <w:rPr>
                  <w:rFonts w:ascii="Times New Roman" w:cs="Times New Roman" w:eastAsia="Times New Roman" w:hAnsi="Times New Roman"/>
                  <w:sz w:val="18"/>
                  <w:szCs w:val="18"/>
                  <w:color w:val="0000EE"/>
                </w:rPr>
                <w:t>Securities Purchase Agreement dated January 2, 2025</w:t>
              </w:r>
            </w:hyperlink>
          </w:p>
        </w:tc>
        <w:tc>
          <w:tcPr>
            <w:tcW w:w="320" w:type="dxa"/>
            <w:vAlign w:val="bottom"/>
            <w:tcBorders>
              <w:bottom w:val="single" w:sz="8" w:color="0000EE"/>
            </w:tcBorders>
            <w:shd w:val="clear" w:color="auto" w:fill="CCEEFF"/>
          </w:tcPr>
          <w:p>
            <w:pPr>
              <w:spacing w:after="0"/>
              <w:rPr>
                <w:rFonts w:ascii="Times New Roman" w:cs="Times New Roman" w:eastAsia="Times New Roman" w:hAnsi="Times New Roman"/>
                <w:sz w:val="15"/>
                <w:szCs w:val="15"/>
                <w:color w:val="0000EE"/>
                <w:w w:val="94"/>
              </w:rPr>
            </w:pPr>
            <w:hyperlink r:id="rId442">
              <w:r>
                <w:rPr>
                  <w:rFonts w:ascii="Times New Roman" w:cs="Times New Roman" w:eastAsia="Times New Roman" w:hAnsi="Times New Roman"/>
                  <w:sz w:val="15"/>
                  <w:szCs w:val="15"/>
                  <w:color w:val="0000EE"/>
                  <w:w w:val="94"/>
                </w:rPr>
                <w:t>(24a)</w:t>
              </w:r>
            </w:hyperlink>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160" w:type="dxa"/>
            <w:vAlign w:val="bottom"/>
            <w:tcBorders>
              <w:bottom w:val="single" w:sz="8" w:color="CCEEFF"/>
            </w:tcBorders>
            <w:vMerge w:val="restart"/>
            <w:shd w:val="clear" w:color="auto" w:fill="CCEEFF"/>
          </w:tcPr>
          <w:p>
            <w:pPr>
              <w:spacing w:after="0"/>
              <w:rPr>
                <w:sz w:val="16"/>
                <w:szCs w:val="16"/>
                <w:color w:val="auto"/>
              </w:rPr>
            </w:pPr>
          </w:p>
        </w:tc>
        <w:tc>
          <w:tcPr>
            <w:tcW w:w="780" w:type="dxa"/>
            <w:vAlign w:val="bottom"/>
            <w:tcBorders>
              <w:bottom w:val="single" w:sz="8" w:color="CCEEFF"/>
            </w:tcBorders>
            <w:vMerge w:val="restart"/>
            <w:shd w:val="clear" w:color="auto" w:fill="CCEEFF"/>
          </w:tcPr>
          <w:p>
            <w:pPr>
              <w:spacing w:after="0"/>
              <w:rPr>
                <w:sz w:val="16"/>
                <w:szCs w:val="16"/>
                <w:color w:val="auto"/>
              </w:rPr>
            </w:pPr>
          </w:p>
        </w:tc>
        <w:tc>
          <w:tcPr>
            <w:tcW w:w="100" w:type="dxa"/>
            <w:vAlign w:val="bottom"/>
            <w:tcBorders>
              <w:bottom w:val="single" w:sz="8" w:color="CCEEFF"/>
            </w:tcBorders>
            <w:vMerge w:val="restart"/>
            <w:shd w:val="clear" w:color="auto" w:fill="CCEEFF"/>
          </w:tcPr>
          <w:p>
            <w:pPr>
              <w:spacing w:after="0"/>
              <w:rPr>
                <w:sz w:val="16"/>
                <w:szCs w:val="16"/>
                <w:color w:val="auto"/>
              </w:rPr>
            </w:pPr>
          </w:p>
        </w:tc>
        <w:tc>
          <w:tcPr>
            <w:tcW w:w="200" w:type="dxa"/>
            <w:vAlign w:val="bottom"/>
            <w:tcBorders>
              <w:bottom w:val="single" w:sz="8" w:color="CCEEFF"/>
            </w:tcBorders>
            <w:vMerge w:val="restart"/>
            <w:shd w:val="clear" w:color="auto" w:fill="CCEEFF"/>
          </w:tcPr>
          <w:p>
            <w:pPr>
              <w:spacing w:after="0"/>
              <w:rPr>
                <w:sz w:val="16"/>
                <w:szCs w:val="16"/>
                <w:color w:val="auto"/>
              </w:rPr>
            </w:pPr>
          </w:p>
        </w:tc>
        <w:tc>
          <w:tcPr>
            <w:tcW w:w="12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430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3920" w:type="dxa"/>
            <w:vAlign w:val="bottom"/>
            <w:tcBorders>
              <w:bottom w:val="single" w:sz="8" w:color="0000EE"/>
            </w:tcBorders>
            <w:gridSpan w:val="19"/>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4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10.56</w:t>
            </w:r>
          </w:p>
        </w:tc>
        <w:tc>
          <w:tcPr>
            <w:tcW w:w="5300" w:type="dxa"/>
            <w:vAlign w:val="bottom"/>
            <w:tcBorders>
              <w:top w:val="single" w:sz="8" w:color="CCEEFF"/>
              <w:bottom w:val="single" w:sz="8" w:color="CCEEFF"/>
            </w:tcBorders>
            <w:gridSpan w:val="24"/>
            <w:vMerge w:val="restart"/>
          </w:tcPr>
          <w:p>
            <w:pPr>
              <w:spacing w:after="0"/>
              <w:rPr>
                <w:rFonts w:ascii="Times New Roman" w:cs="Times New Roman" w:eastAsia="Times New Roman" w:hAnsi="Times New Roman"/>
                <w:sz w:val="18"/>
                <w:szCs w:val="18"/>
                <w:color w:val="0000EE"/>
                <w:w w:val="99"/>
              </w:rPr>
            </w:pPr>
            <w:hyperlink r:id="rId443">
              <w:r>
                <w:rPr>
                  <w:rFonts w:ascii="Times New Roman" w:cs="Times New Roman" w:eastAsia="Times New Roman" w:hAnsi="Times New Roman"/>
                  <w:sz w:val="18"/>
                  <w:szCs w:val="18"/>
                  <w:color w:val="0000EE"/>
                  <w:w w:val="99"/>
                </w:rPr>
                <w:t>Merger Agreement between the Company and DiamiR Biosciences Corp.</w:t>
              </w:r>
            </w:hyperlink>
          </w:p>
        </w:tc>
        <w:tc>
          <w:tcPr>
            <w:tcW w:w="320" w:type="dxa"/>
            <w:vAlign w:val="bottom"/>
            <w:tcBorders>
              <w:top w:val="single" w:sz="8" w:color="CCEEFF"/>
              <w:bottom w:val="single" w:sz="8" w:color="0000EE"/>
            </w:tcBorders>
            <w:gridSpan w:val="2"/>
          </w:tcPr>
          <w:p>
            <w:pPr>
              <w:spacing w:after="0" w:line="129" w:lineRule="exact"/>
              <w:rPr>
                <w:rFonts w:ascii="Times New Roman" w:cs="Times New Roman" w:eastAsia="Times New Roman" w:hAnsi="Times New Roman"/>
                <w:sz w:val="14"/>
                <w:szCs w:val="14"/>
                <w:color w:val="0000EE"/>
              </w:rPr>
            </w:pPr>
            <w:hyperlink r:id="rId443">
              <w:r>
                <w:rPr>
                  <w:rFonts w:ascii="Times New Roman" w:cs="Times New Roman" w:eastAsia="Times New Roman" w:hAnsi="Times New Roman"/>
                  <w:sz w:val="14"/>
                  <w:szCs w:val="14"/>
                  <w:color w:val="0000EE"/>
                </w:rPr>
                <w:t>(25a)</w:t>
              </w:r>
            </w:hyperlink>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430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5300" w:type="dxa"/>
            <w:vAlign w:val="bottom"/>
            <w:tcBorders>
              <w:bottom w:val="single" w:sz="8" w:color="0000EE"/>
            </w:tcBorders>
            <w:gridSpan w:val="24"/>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4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10.57</w:t>
            </w:r>
          </w:p>
        </w:tc>
        <w:tc>
          <w:tcPr>
            <w:tcW w:w="2440" w:type="dxa"/>
            <w:vAlign w:val="bottom"/>
            <w:tcBorders>
              <w:bottom w:val="single" w:sz="8" w:color="CCEEFF"/>
            </w:tcBorders>
            <w:gridSpan w:val="11"/>
            <w:vMerge w:val="restart"/>
            <w:shd w:val="clear" w:color="auto" w:fill="CCEEFF"/>
          </w:tcPr>
          <w:p>
            <w:pPr>
              <w:spacing w:after="0"/>
              <w:rPr>
                <w:rFonts w:ascii="Times New Roman" w:cs="Times New Roman" w:eastAsia="Times New Roman" w:hAnsi="Times New Roman"/>
                <w:sz w:val="18"/>
                <w:szCs w:val="18"/>
                <w:color w:val="0000EE"/>
                <w:w w:val="99"/>
              </w:rPr>
            </w:pPr>
            <w:hyperlink r:id="rId444">
              <w:r>
                <w:rPr>
                  <w:rFonts w:ascii="Times New Roman" w:cs="Times New Roman" w:eastAsia="Times New Roman" w:hAnsi="Times New Roman"/>
                  <w:sz w:val="18"/>
                  <w:szCs w:val="18"/>
                  <w:color w:val="0000EE"/>
                  <w:w w:val="99"/>
                </w:rPr>
                <w:t>Management Services Agreement</w:t>
              </w:r>
            </w:hyperlink>
          </w:p>
        </w:tc>
        <w:tc>
          <w:tcPr>
            <w:tcW w:w="320" w:type="dxa"/>
            <w:vAlign w:val="bottom"/>
            <w:tcBorders>
              <w:bottom w:val="single" w:sz="8" w:color="0000EE"/>
            </w:tcBorders>
            <w:gridSpan w:val="3"/>
            <w:shd w:val="clear" w:color="auto" w:fill="CCEEFF"/>
          </w:tcPr>
          <w:p>
            <w:pPr>
              <w:spacing w:after="0" w:line="129" w:lineRule="exact"/>
              <w:rPr>
                <w:rFonts w:ascii="Times New Roman" w:cs="Times New Roman" w:eastAsia="Times New Roman" w:hAnsi="Times New Roman"/>
                <w:sz w:val="14"/>
                <w:szCs w:val="14"/>
                <w:color w:val="0000EE"/>
              </w:rPr>
            </w:pPr>
            <w:hyperlink r:id="rId444">
              <w:r>
                <w:rPr>
                  <w:rFonts w:ascii="Times New Roman" w:cs="Times New Roman" w:eastAsia="Times New Roman" w:hAnsi="Times New Roman"/>
                  <w:sz w:val="14"/>
                  <w:szCs w:val="14"/>
                  <w:color w:val="0000EE"/>
                </w:rPr>
                <w:t>(25a)</w:t>
              </w:r>
            </w:hyperlink>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84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78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430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2440" w:type="dxa"/>
            <w:vAlign w:val="bottom"/>
            <w:tcBorders>
              <w:bottom w:val="single" w:sz="8" w:color="0000EE"/>
            </w:tcBorders>
            <w:gridSpan w:val="11"/>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840" w:type="dxa"/>
            <w:vAlign w:val="bottom"/>
            <w:tcBorders>
              <w:bottom w:val="single" w:sz="8" w:color="CCEEFF"/>
            </w:tcBorders>
            <w:gridSpan w:val="3"/>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4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10.58</w:t>
            </w:r>
          </w:p>
        </w:tc>
        <w:tc>
          <w:tcPr>
            <w:tcW w:w="2240" w:type="dxa"/>
            <w:vAlign w:val="bottom"/>
            <w:tcBorders>
              <w:top w:val="single" w:sz="8" w:color="CCEEFF"/>
              <w:bottom w:val="single" w:sz="8" w:color="CCEEFF"/>
            </w:tcBorders>
            <w:gridSpan w:val="9"/>
            <w:vMerge w:val="restart"/>
          </w:tcPr>
          <w:p>
            <w:pPr>
              <w:spacing w:after="0"/>
              <w:rPr>
                <w:rFonts w:ascii="Times New Roman" w:cs="Times New Roman" w:eastAsia="Times New Roman" w:hAnsi="Times New Roman"/>
                <w:sz w:val="18"/>
                <w:szCs w:val="18"/>
                <w:color w:val="0000EE"/>
                <w:w w:val="98"/>
              </w:rPr>
            </w:pPr>
            <w:hyperlink r:id="rId445">
              <w:r>
                <w:rPr>
                  <w:rFonts w:ascii="Times New Roman" w:cs="Times New Roman" w:eastAsia="Times New Roman" w:hAnsi="Times New Roman"/>
                  <w:sz w:val="18"/>
                  <w:szCs w:val="18"/>
                  <w:color w:val="0000EE"/>
                  <w:w w:val="98"/>
                </w:rPr>
                <w:t>Voting and Support Agreement</w:t>
              </w:r>
            </w:hyperlink>
          </w:p>
        </w:tc>
        <w:tc>
          <w:tcPr>
            <w:tcW w:w="320" w:type="dxa"/>
            <w:vAlign w:val="bottom"/>
            <w:tcBorders>
              <w:top w:val="single" w:sz="8" w:color="CCEEFF"/>
              <w:bottom w:val="single" w:sz="8" w:color="0000EE"/>
            </w:tcBorders>
            <w:gridSpan w:val="3"/>
          </w:tcPr>
          <w:p>
            <w:pPr>
              <w:spacing w:after="0" w:line="129" w:lineRule="exact"/>
              <w:rPr>
                <w:rFonts w:ascii="Times New Roman" w:cs="Times New Roman" w:eastAsia="Times New Roman" w:hAnsi="Times New Roman"/>
                <w:sz w:val="14"/>
                <w:szCs w:val="14"/>
                <w:color w:val="0000EE"/>
              </w:rPr>
            </w:pPr>
            <w:hyperlink r:id="rId445">
              <w:r>
                <w:rPr>
                  <w:rFonts w:ascii="Times New Roman" w:cs="Times New Roman" w:eastAsia="Times New Roman" w:hAnsi="Times New Roman"/>
                  <w:sz w:val="14"/>
                  <w:szCs w:val="14"/>
                  <w:color w:val="0000EE"/>
                </w:rPr>
                <w:t>(25a)</w:t>
              </w:r>
            </w:hyperlink>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32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840" w:type="dxa"/>
            <w:vAlign w:val="bottom"/>
            <w:tcBorders>
              <w:top w:val="single" w:sz="8" w:color="CCEEFF"/>
              <w:bottom w:val="single" w:sz="8" w:color="CCEEFF"/>
            </w:tcBorders>
            <w:gridSpan w:val="3"/>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780" w:type="dxa"/>
            <w:vAlign w:val="bottom"/>
            <w:tcBorders>
              <w:top w:val="single" w:sz="8" w:color="CCEEFF"/>
              <w:bottom w:val="single" w:sz="8" w:color="CCEEFF"/>
            </w:tcBorders>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430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2240" w:type="dxa"/>
            <w:vAlign w:val="bottom"/>
            <w:tcBorders>
              <w:bottom w:val="single" w:sz="8" w:color="0000EE"/>
            </w:tcBorders>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10.59</w:t>
            </w:r>
          </w:p>
        </w:tc>
        <w:tc>
          <w:tcPr>
            <w:tcW w:w="1780" w:type="dxa"/>
            <w:vAlign w:val="bottom"/>
            <w:tcBorders>
              <w:bottom w:val="single" w:sz="8" w:color="CCEEFF"/>
            </w:tcBorders>
            <w:gridSpan w:val="3"/>
            <w:vMerge w:val="restart"/>
            <w:shd w:val="clear" w:color="auto" w:fill="CCEEFF"/>
          </w:tcPr>
          <w:p>
            <w:pPr>
              <w:spacing w:after="0"/>
              <w:rPr>
                <w:rFonts w:ascii="Times New Roman" w:cs="Times New Roman" w:eastAsia="Times New Roman" w:hAnsi="Times New Roman"/>
                <w:sz w:val="18"/>
                <w:szCs w:val="18"/>
                <w:color w:val="0000EE"/>
                <w:w w:val="98"/>
              </w:rPr>
            </w:pPr>
            <w:hyperlink r:id="rId446">
              <w:r>
                <w:rPr>
                  <w:rFonts w:ascii="Times New Roman" w:cs="Times New Roman" w:eastAsia="Times New Roman" w:hAnsi="Times New Roman"/>
                  <w:sz w:val="18"/>
                  <w:szCs w:val="18"/>
                  <w:color w:val="0000EE"/>
                  <w:w w:val="98"/>
                </w:rPr>
                <w:t>Stockholders Agreement</w:t>
              </w:r>
            </w:hyperlink>
          </w:p>
        </w:tc>
        <w:tc>
          <w:tcPr>
            <w:tcW w:w="320" w:type="dxa"/>
            <w:vAlign w:val="bottom"/>
            <w:tcBorders>
              <w:bottom w:val="single" w:sz="8" w:color="0000EE"/>
            </w:tcBorders>
            <w:gridSpan w:val="5"/>
            <w:shd w:val="clear" w:color="auto" w:fill="CCEEFF"/>
          </w:tcPr>
          <w:p>
            <w:pPr>
              <w:jc w:val="right"/>
              <w:spacing w:after="0" w:line="129" w:lineRule="exact"/>
              <w:rPr>
                <w:rFonts w:ascii="Times New Roman" w:cs="Times New Roman" w:eastAsia="Times New Roman" w:hAnsi="Times New Roman"/>
                <w:sz w:val="14"/>
                <w:szCs w:val="14"/>
                <w:color w:val="0000EE"/>
              </w:rPr>
            </w:pPr>
            <w:hyperlink r:id="rId446">
              <w:r>
                <w:rPr>
                  <w:rFonts w:ascii="Times New Roman" w:cs="Times New Roman" w:eastAsia="Times New Roman" w:hAnsi="Times New Roman"/>
                  <w:sz w:val="14"/>
                  <w:szCs w:val="14"/>
                  <w:color w:val="0000EE"/>
                </w:rPr>
                <w:t>(25a)</w:t>
              </w:r>
            </w:hyperlink>
          </w:p>
        </w:tc>
        <w:tc>
          <w:tcPr>
            <w:tcW w:w="220" w:type="dxa"/>
            <w:vAlign w:val="bottom"/>
            <w:tcBorders>
              <w:bottom w:val="single" w:sz="8" w:color="CCEEFF"/>
            </w:tcBorders>
            <w:gridSpan w:val="2"/>
            <w:vMerge w:val="restart"/>
            <w:shd w:val="clear" w:color="auto" w:fill="CCEEFF"/>
          </w:tcPr>
          <w:p>
            <w:pPr>
              <w:spacing w:after="0"/>
              <w:rPr>
                <w:sz w:val="12"/>
                <w:szCs w:val="12"/>
                <w:color w:val="auto"/>
              </w:rPr>
            </w:pPr>
          </w:p>
        </w:tc>
        <w:tc>
          <w:tcPr>
            <w:tcW w:w="300" w:type="dxa"/>
            <w:vAlign w:val="bottom"/>
            <w:tcBorders>
              <w:bottom w:val="single" w:sz="8" w:color="CCEEFF"/>
            </w:tcBorders>
            <w:gridSpan w:val="3"/>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84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78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430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1780" w:type="dxa"/>
            <w:vAlign w:val="bottom"/>
            <w:tcBorders>
              <w:bottom w:val="single" w:sz="8" w:color="0000EE"/>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gridSpan w:val="3"/>
            <w:vMerge w:val="continue"/>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840" w:type="dxa"/>
            <w:vAlign w:val="bottom"/>
            <w:tcBorders>
              <w:bottom w:val="single" w:sz="8" w:color="CCEEFF"/>
            </w:tcBorders>
            <w:gridSpan w:val="3"/>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4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10.57</w:t>
            </w:r>
          </w:p>
        </w:tc>
        <w:tc>
          <w:tcPr>
            <w:tcW w:w="2920" w:type="dxa"/>
            <w:vAlign w:val="bottom"/>
            <w:tcBorders>
              <w:top w:val="single" w:sz="8" w:color="CCEEFF"/>
              <w:bottom w:val="single" w:sz="8" w:color="CCEEFF"/>
            </w:tcBorders>
            <w:gridSpan w:val="16"/>
            <w:vMerge w:val="restart"/>
          </w:tcPr>
          <w:p>
            <w:pPr>
              <w:spacing w:after="0"/>
              <w:rPr>
                <w:rFonts w:ascii="Times New Roman" w:cs="Times New Roman" w:eastAsia="Times New Roman" w:hAnsi="Times New Roman"/>
                <w:sz w:val="18"/>
                <w:szCs w:val="18"/>
                <w:color w:val="0000EE"/>
                <w:w w:val="99"/>
              </w:rPr>
            </w:pPr>
            <w:hyperlink r:id="rId447">
              <w:r>
                <w:rPr>
                  <w:rFonts w:ascii="Times New Roman" w:cs="Times New Roman" w:eastAsia="Times New Roman" w:hAnsi="Times New Roman"/>
                  <w:sz w:val="18"/>
                  <w:szCs w:val="18"/>
                  <w:color w:val="0000EE"/>
                  <w:w w:val="99"/>
                </w:rPr>
                <w:t>Intellectual Property License Agreement</w:t>
              </w:r>
            </w:hyperlink>
          </w:p>
        </w:tc>
        <w:tc>
          <w:tcPr>
            <w:tcW w:w="320" w:type="dxa"/>
            <w:vAlign w:val="bottom"/>
            <w:tcBorders>
              <w:top w:val="single" w:sz="8" w:color="CCEEFF"/>
              <w:bottom w:val="single" w:sz="8" w:color="0000EE"/>
            </w:tcBorders>
          </w:tcPr>
          <w:p>
            <w:pPr>
              <w:spacing w:after="0" w:line="129" w:lineRule="exact"/>
              <w:rPr>
                <w:rFonts w:ascii="Times New Roman" w:cs="Times New Roman" w:eastAsia="Times New Roman" w:hAnsi="Times New Roman"/>
                <w:sz w:val="14"/>
                <w:szCs w:val="14"/>
                <w:color w:val="0000EE"/>
              </w:rPr>
            </w:pPr>
            <w:hyperlink r:id="rId447">
              <w:r>
                <w:rPr>
                  <w:rFonts w:ascii="Times New Roman" w:cs="Times New Roman" w:eastAsia="Times New Roman" w:hAnsi="Times New Roman"/>
                  <w:sz w:val="14"/>
                  <w:szCs w:val="14"/>
                  <w:color w:val="0000EE"/>
                </w:rPr>
                <w:t>(25a)</w:t>
              </w:r>
            </w:hyperlink>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840" w:type="dxa"/>
            <w:vAlign w:val="bottom"/>
            <w:tcBorders>
              <w:top w:val="single" w:sz="8" w:color="CCEEFF"/>
              <w:bottom w:val="single" w:sz="8" w:color="CCEEFF"/>
            </w:tcBorders>
            <w:gridSpan w:val="3"/>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780" w:type="dxa"/>
            <w:vAlign w:val="bottom"/>
            <w:tcBorders>
              <w:top w:val="single" w:sz="8" w:color="CCEEFF"/>
              <w:bottom w:val="single" w:sz="8" w:color="CCEEFF"/>
            </w:tcBorders>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430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2920" w:type="dxa"/>
            <w:vAlign w:val="bottom"/>
            <w:tcBorders>
              <w:bottom w:val="single" w:sz="8" w:color="0000EE"/>
            </w:tcBorders>
            <w:gridSpan w:val="16"/>
            <w:vMerge w:val="continue"/>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10.58</w:t>
            </w:r>
          </w:p>
        </w:tc>
        <w:tc>
          <w:tcPr>
            <w:tcW w:w="4260" w:type="dxa"/>
            <w:vAlign w:val="bottom"/>
            <w:tcBorders>
              <w:bottom w:val="single" w:sz="8" w:color="CCEEFF"/>
            </w:tcBorders>
            <w:gridSpan w:val="21"/>
            <w:vMerge w:val="restart"/>
            <w:shd w:val="clear" w:color="auto" w:fill="CCEEFF"/>
          </w:tcPr>
          <w:p>
            <w:pPr>
              <w:spacing w:after="0"/>
              <w:rPr>
                <w:rFonts w:ascii="Times New Roman" w:cs="Times New Roman" w:eastAsia="Times New Roman" w:hAnsi="Times New Roman"/>
                <w:sz w:val="18"/>
                <w:szCs w:val="18"/>
                <w:color w:val="0000EE"/>
                <w:w w:val="99"/>
              </w:rPr>
            </w:pPr>
            <w:hyperlink r:id="rId448">
              <w:r>
                <w:rPr>
                  <w:rFonts w:ascii="Times New Roman" w:cs="Times New Roman" w:eastAsia="Times New Roman" w:hAnsi="Times New Roman"/>
                  <w:sz w:val="18"/>
                  <w:szCs w:val="18"/>
                  <w:color w:val="0000EE"/>
                  <w:w w:val="99"/>
                </w:rPr>
                <w:t>Form of Purchase Agreement dated as of October 10, 2025</w:t>
              </w:r>
            </w:hyperlink>
          </w:p>
        </w:tc>
        <w:tc>
          <w:tcPr>
            <w:tcW w:w="160" w:type="dxa"/>
            <w:vAlign w:val="bottom"/>
            <w:tcBorders>
              <w:bottom w:val="single" w:sz="8" w:color="0000EE"/>
            </w:tcBorders>
            <w:shd w:val="clear" w:color="auto" w:fill="CCEEFF"/>
          </w:tcPr>
          <w:p>
            <w:pPr>
              <w:jc w:val="right"/>
              <w:spacing w:after="0" w:line="129" w:lineRule="exact"/>
              <w:rPr>
                <w:rFonts w:ascii="Times New Roman" w:cs="Times New Roman" w:eastAsia="Times New Roman" w:hAnsi="Times New Roman"/>
                <w:sz w:val="14"/>
                <w:szCs w:val="14"/>
                <w:color w:val="0000EE"/>
                <w:w w:val="85"/>
              </w:rPr>
            </w:pPr>
            <w:hyperlink r:id="rId448">
              <w:r>
                <w:rPr>
                  <w:rFonts w:ascii="Times New Roman" w:cs="Times New Roman" w:eastAsia="Times New Roman" w:hAnsi="Times New Roman"/>
                  <w:sz w:val="14"/>
                  <w:szCs w:val="14"/>
                  <w:color w:val="0000EE"/>
                  <w:w w:val="85"/>
                </w:rPr>
                <w:t>(1)</w:t>
              </w:r>
            </w:hyperlink>
          </w:p>
        </w:tc>
        <w:tc>
          <w:tcPr>
            <w:tcW w:w="78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300" w:type="dxa"/>
            <w:vAlign w:val="bottom"/>
            <w:tcBorders>
              <w:bottom w:val="single" w:sz="8" w:color="CCEEFF"/>
            </w:tcBorders>
            <w:gridSpan w:val="2"/>
            <w:vMerge w:val="restart"/>
            <w:shd w:val="clear" w:color="auto" w:fill="CCEEFF"/>
          </w:tcPr>
          <w:p>
            <w:pPr>
              <w:spacing w:after="0"/>
              <w:rPr>
                <w:sz w:val="12"/>
                <w:szCs w:val="12"/>
                <w:color w:val="auto"/>
              </w:rPr>
            </w:pPr>
          </w:p>
        </w:tc>
        <w:tc>
          <w:tcPr>
            <w:tcW w:w="430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4260" w:type="dxa"/>
            <w:vAlign w:val="bottom"/>
            <w:tcBorders>
              <w:bottom w:val="single" w:sz="8" w:color="0000EE"/>
            </w:tcBorders>
            <w:gridSpan w:val="21"/>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4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10.59</w:t>
            </w:r>
          </w:p>
        </w:tc>
        <w:tc>
          <w:tcPr>
            <w:tcW w:w="4260" w:type="dxa"/>
            <w:vAlign w:val="bottom"/>
            <w:tcBorders>
              <w:top w:val="single" w:sz="8" w:color="CCEEFF"/>
              <w:bottom w:val="single" w:sz="8" w:color="CCEEFF"/>
            </w:tcBorders>
            <w:gridSpan w:val="21"/>
            <w:vMerge w:val="restart"/>
          </w:tcPr>
          <w:p>
            <w:pPr>
              <w:spacing w:after="0"/>
              <w:rPr>
                <w:rFonts w:ascii="Times New Roman" w:cs="Times New Roman" w:eastAsia="Times New Roman" w:hAnsi="Times New Roman"/>
                <w:sz w:val="18"/>
                <w:szCs w:val="18"/>
                <w:color w:val="0000EE"/>
                <w:w w:val="99"/>
              </w:rPr>
            </w:pPr>
            <w:hyperlink r:id="rId449">
              <w:r>
                <w:rPr>
                  <w:rFonts w:ascii="Times New Roman" w:cs="Times New Roman" w:eastAsia="Times New Roman" w:hAnsi="Times New Roman"/>
                  <w:sz w:val="18"/>
                  <w:szCs w:val="18"/>
                  <w:color w:val="0000EE"/>
                  <w:w w:val="99"/>
                </w:rPr>
                <w:t>Form of Lock-Up Agreement dated as of October 10, 2025</w:t>
              </w:r>
            </w:hyperlink>
          </w:p>
        </w:tc>
        <w:tc>
          <w:tcPr>
            <w:tcW w:w="16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85"/>
              </w:rPr>
            </w:pPr>
            <w:hyperlink r:id="rId449">
              <w:r>
                <w:rPr>
                  <w:rFonts w:ascii="Times New Roman" w:cs="Times New Roman" w:eastAsia="Times New Roman" w:hAnsi="Times New Roman"/>
                  <w:sz w:val="14"/>
                  <w:szCs w:val="14"/>
                  <w:color w:val="0000EE"/>
                  <w:w w:val="85"/>
                </w:rPr>
                <w:t>(1)</w:t>
              </w:r>
            </w:hyperlink>
          </w:p>
        </w:tc>
        <w:tc>
          <w:tcPr>
            <w:tcW w:w="780" w:type="dxa"/>
            <w:vAlign w:val="bottom"/>
            <w:tcBorders>
              <w:top w:val="single" w:sz="8" w:color="CCEEFF"/>
              <w:bottom w:val="single" w:sz="8" w:color="CCEEFF"/>
            </w:tcBorders>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300" w:type="dxa"/>
            <w:vAlign w:val="bottom"/>
            <w:tcBorders>
              <w:top w:val="single" w:sz="8" w:color="CCEEFF"/>
              <w:bottom w:val="single" w:sz="8" w:color="CCEEFF"/>
            </w:tcBorders>
            <w:gridSpan w:val="2"/>
            <w:vMerge w:val="restart"/>
          </w:tcPr>
          <w:p>
            <w:pPr>
              <w:spacing w:after="0"/>
              <w:rPr>
                <w:sz w:val="12"/>
                <w:szCs w:val="12"/>
                <w:color w:val="auto"/>
              </w:rPr>
            </w:pPr>
          </w:p>
        </w:tc>
        <w:tc>
          <w:tcPr>
            <w:tcW w:w="430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4260" w:type="dxa"/>
            <w:vAlign w:val="bottom"/>
            <w:tcBorders>
              <w:bottom w:val="single" w:sz="8" w:color="0000EE"/>
            </w:tcBorders>
            <w:gridSpan w:val="21"/>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10.60</w:t>
            </w:r>
          </w:p>
        </w:tc>
        <w:tc>
          <w:tcPr>
            <w:tcW w:w="5500" w:type="dxa"/>
            <w:vAlign w:val="bottom"/>
            <w:tcBorders>
              <w:bottom w:val="single" w:sz="8" w:color="CCEEFF"/>
            </w:tcBorders>
            <w:gridSpan w:val="25"/>
            <w:vMerge w:val="restart"/>
            <w:shd w:val="clear" w:color="auto" w:fill="CCEEFF"/>
          </w:tcPr>
          <w:p>
            <w:pPr>
              <w:spacing w:after="0"/>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Amendment to the Management Services Agreement dated March 25, 2026</w:t>
              </w:r>
            </w:hyperlink>
          </w:p>
        </w:tc>
        <w:tc>
          <w:tcPr>
            <w:tcW w:w="300" w:type="dxa"/>
            <w:vAlign w:val="bottom"/>
            <w:tcBorders>
              <w:bottom w:val="single" w:sz="8" w:color="0000EE"/>
            </w:tcBorders>
            <w:gridSpan w:val="2"/>
            <w:shd w:val="clear" w:color="auto" w:fill="CCEEFF"/>
          </w:tcPr>
          <w:p>
            <w:pPr>
              <w:spacing w:after="0" w:line="129" w:lineRule="exact"/>
              <w:rPr>
                <w:rFonts w:ascii="Times New Roman" w:cs="Times New Roman" w:eastAsia="Times New Roman" w:hAnsi="Times New Roman"/>
                <w:sz w:val="14"/>
                <w:szCs w:val="14"/>
                <w:color w:val="0000EE"/>
                <w:w w:val="94"/>
              </w:rPr>
            </w:pPr>
            <w:hyperlink r:id="rId450">
              <w:r>
                <w:rPr>
                  <w:rFonts w:ascii="Times New Roman" w:cs="Times New Roman" w:eastAsia="Times New Roman" w:hAnsi="Times New Roman"/>
                  <w:sz w:val="14"/>
                  <w:szCs w:val="14"/>
                  <w:color w:val="0000EE"/>
                  <w:w w:val="94"/>
                </w:rPr>
                <w:t>(26a)</w:t>
              </w:r>
            </w:hyperlink>
          </w:p>
        </w:tc>
        <w:tc>
          <w:tcPr>
            <w:tcW w:w="430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5500" w:type="dxa"/>
            <w:vAlign w:val="bottom"/>
            <w:tcBorders>
              <w:bottom w:val="single" w:sz="8" w:color="0000EE"/>
            </w:tcBorders>
            <w:gridSpan w:val="25"/>
            <w:vMerge w:val="continue"/>
            <w:shd w:val="clear" w:color="auto" w:fill="CCEEFF"/>
          </w:tcPr>
          <w:p>
            <w:pPr>
              <w:spacing w:after="0"/>
              <w:rPr>
                <w:sz w:val="5"/>
                <w:szCs w:val="5"/>
                <w:color w:val="auto"/>
              </w:rPr>
            </w:pPr>
          </w:p>
        </w:tc>
        <w:tc>
          <w:tcPr>
            <w:tcW w:w="300" w:type="dxa"/>
            <w:vAlign w:val="bottom"/>
            <w:tcBorders>
              <w:bottom w:val="single" w:sz="8" w:color="CCEEFF"/>
            </w:tcBorders>
            <w:gridSpan w:val="2"/>
            <w:shd w:val="clear" w:color="auto" w:fill="CCEEFF"/>
          </w:tcPr>
          <w:p>
            <w:pPr>
              <w:spacing w:after="0"/>
              <w:rPr>
                <w:sz w:val="5"/>
                <w:szCs w:val="5"/>
                <w:color w:val="auto"/>
              </w:rPr>
            </w:pPr>
          </w:p>
        </w:tc>
        <w:tc>
          <w:tcPr>
            <w:tcW w:w="43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CCEEFF"/>
              <w:bottom w:val="single" w:sz="8" w:color="CCEEFF"/>
            </w:tcBorders>
            <w:vMerge w:val="restart"/>
          </w:tcPr>
          <w:p>
            <w:pPr>
              <w:spacing w:after="0"/>
              <w:rPr>
                <w:rFonts w:ascii="Times New Roman" w:cs="Times New Roman" w:eastAsia="Times New Roman" w:hAnsi="Times New Roman"/>
                <w:sz w:val="18"/>
                <w:szCs w:val="18"/>
                <w:color w:val="0000EE"/>
                <w:w w:val="98"/>
              </w:rPr>
            </w:pPr>
            <w:hyperlink r:id="rId451">
              <w:r>
                <w:rPr>
                  <w:rFonts w:ascii="Times New Roman" w:cs="Times New Roman" w:eastAsia="Times New Roman" w:hAnsi="Times New Roman"/>
                  <w:sz w:val="18"/>
                  <w:szCs w:val="18"/>
                  <w:color w:val="0000EE"/>
                  <w:w w:val="98"/>
                </w:rPr>
                <w:t>List of Subsidiaries</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451">
              <w:r>
                <w:rPr>
                  <w:rFonts w:ascii="Times New Roman" w:cs="Times New Roman" w:eastAsia="Times New Roman" w:hAnsi="Times New Roman"/>
                  <w:sz w:val="14"/>
                  <w:szCs w:val="14"/>
                  <w:color w:val="0000EE"/>
                  <w:w w:val="94"/>
                </w:rPr>
                <w:t>(11)</w:t>
              </w:r>
            </w:hyperlink>
          </w:p>
        </w:tc>
        <w:tc>
          <w:tcPr>
            <w:tcW w:w="16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2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gridSpan w:val="3"/>
            <w:vMerge w:val="restart"/>
          </w:tcPr>
          <w:p>
            <w:pPr>
              <w:spacing w:after="0"/>
              <w:rPr>
                <w:sz w:val="12"/>
                <w:szCs w:val="12"/>
                <w:color w:val="auto"/>
              </w:rPr>
            </w:pPr>
          </w:p>
        </w:tc>
        <w:tc>
          <w:tcPr>
            <w:tcW w:w="300" w:type="dxa"/>
            <w:vAlign w:val="bottom"/>
            <w:tcBorders>
              <w:top w:val="single" w:sz="8" w:color="CCEEFF"/>
              <w:bottom w:val="single" w:sz="8" w:color="CCEEFF"/>
            </w:tcBorders>
            <w:gridSpan w:val="3"/>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540" w:type="dxa"/>
            <w:vAlign w:val="bottom"/>
            <w:tcBorders>
              <w:top w:val="single" w:sz="8" w:color="CCEEFF"/>
              <w:bottom w:val="single" w:sz="8" w:color="CCEEFF"/>
            </w:tcBorders>
            <w:gridSpan w:val="3"/>
            <w:vMerge w:val="restart"/>
          </w:tcPr>
          <w:p>
            <w:pPr>
              <w:spacing w:after="0"/>
              <w:rPr>
                <w:sz w:val="12"/>
                <w:szCs w:val="12"/>
                <w:color w:val="auto"/>
              </w:rPr>
            </w:pPr>
          </w:p>
        </w:tc>
        <w:tc>
          <w:tcPr>
            <w:tcW w:w="1780" w:type="dxa"/>
            <w:vAlign w:val="bottom"/>
            <w:tcBorders>
              <w:top w:val="single" w:sz="8" w:color="CCEEFF"/>
              <w:bottom w:val="single" w:sz="8" w:color="CCEEFF"/>
            </w:tcBorders>
            <w:gridSpan w:val="5"/>
            <w:vMerge w:val="restart"/>
          </w:tcPr>
          <w:p>
            <w:pPr>
              <w:spacing w:after="0"/>
              <w:rPr>
                <w:sz w:val="12"/>
                <w:szCs w:val="12"/>
                <w:color w:val="auto"/>
              </w:rPr>
            </w:pPr>
          </w:p>
        </w:tc>
        <w:tc>
          <w:tcPr>
            <w:tcW w:w="4900" w:type="dxa"/>
            <w:vAlign w:val="bottom"/>
            <w:tcBorders>
              <w:top w:val="single" w:sz="8" w:color="CCEEFF"/>
              <w:bottom w:val="single" w:sz="8" w:color="CCEEFF"/>
            </w:tcBorders>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400" w:type="dxa"/>
            <w:vAlign w:val="bottom"/>
            <w:tcBorders>
              <w:bottom w:val="single" w:sz="8" w:color="0000EE"/>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49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2620" w:type="dxa"/>
            <w:vAlign w:val="bottom"/>
            <w:tcBorders>
              <w:bottom w:val="single" w:sz="8" w:color="CCEEFF"/>
            </w:tcBorders>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Consent of Marcum Asia CPAs LLP</w:t>
            </w:r>
          </w:p>
        </w:tc>
        <w:tc>
          <w:tcPr>
            <w:tcW w:w="260" w:type="dxa"/>
            <w:vAlign w:val="bottom"/>
            <w:tcBorders>
              <w:bottom w:val="single" w:sz="8" w:color="0000EE"/>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0000EE"/>
              </w:rPr>
              <w:t>(##)</w:t>
            </w:r>
          </w:p>
        </w:tc>
        <w:tc>
          <w:tcPr>
            <w:tcW w:w="540" w:type="dxa"/>
            <w:vAlign w:val="bottom"/>
            <w:tcBorders>
              <w:bottom w:val="single" w:sz="8" w:color="CCEEFF"/>
            </w:tcBorders>
            <w:gridSpan w:val="3"/>
            <w:vMerge w:val="restart"/>
            <w:shd w:val="clear" w:color="auto" w:fill="CCEEFF"/>
          </w:tcPr>
          <w:p>
            <w:pPr>
              <w:spacing w:after="0"/>
              <w:rPr>
                <w:sz w:val="12"/>
                <w:szCs w:val="12"/>
                <w:color w:val="auto"/>
              </w:rPr>
            </w:pPr>
          </w:p>
        </w:tc>
        <w:tc>
          <w:tcPr>
            <w:tcW w:w="1780" w:type="dxa"/>
            <w:vAlign w:val="bottom"/>
            <w:tcBorders>
              <w:bottom w:val="single" w:sz="8" w:color="CCEEFF"/>
            </w:tcBorders>
            <w:gridSpan w:val="5"/>
            <w:vMerge w:val="restart"/>
            <w:shd w:val="clear" w:color="auto" w:fill="CCEEFF"/>
          </w:tcPr>
          <w:p>
            <w:pPr>
              <w:spacing w:after="0"/>
              <w:rPr>
                <w:sz w:val="12"/>
                <w:szCs w:val="12"/>
                <w:color w:val="auto"/>
              </w:rPr>
            </w:pPr>
          </w:p>
        </w:tc>
        <w:tc>
          <w:tcPr>
            <w:tcW w:w="4900" w:type="dxa"/>
            <w:vAlign w:val="bottom"/>
            <w:tcBorders>
              <w:bottom w:val="single" w:sz="8" w:color="CCEEFF"/>
            </w:tcBorders>
            <w:gridSpan w:val="5"/>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2620" w:type="dxa"/>
            <w:vAlign w:val="bottom"/>
            <w:tcBorders>
              <w:bottom w:val="single" w:sz="8" w:color="0000EE"/>
            </w:tcBorders>
            <w:gridSpan w:val="13"/>
            <w:vMerge w:val="continue"/>
            <w:shd w:val="clear" w:color="auto" w:fill="CCEEFF"/>
          </w:tcPr>
          <w:p>
            <w:pPr>
              <w:spacing w:after="0"/>
              <w:rPr>
                <w:sz w:val="5"/>
                <w:szCs w:val="5"/>
                <w:color w:val="auto"/>
              </w:rPr>
            </w:pPr>
          </w:p>
        </w:tc>
        <w:tc>
          <w:tcPr>
            <w:tcW w:w="260" w:type="dxa"/>
            <w:vAlign w:val="bottom"/>
            <w:tcBorders>
              <w:bottom w:val="single" w:sz="8" w:color="CCEEFF"/>
            </w:tcBorders>
            <w:gridSpan w:val="2"/>
            <w:shd w:val="clear" w:color="auto" w:fill="CCEEFF"/>
          </w:tcPr>
          <w:p>
            <w:pPr>
              <w:spacing w:after="0"/>
              <w:rPr>
                <w:sz w:val="5"/>
                <w:szCs w:val="5"/>
                <w:color w:val="auto"/>
              </w:rPr>
            </w:pPr>
          </w:p>
        </w:tc>
        <w:tc>
          <w:tcPr>
            <w:tcW w:w="540" w:type="dxa"/>
            <w:vAlign w:val="bottom"/>
            <w:tcBorders>
              <w:bottom w:val="single" w:sz="8" w:color="CCEEFF"/>
            </w:tcBorders>
            <w:gridSpan w:val="3"/>
            <w:vMerge w:val="continue"/>
            <w:shd w:val="clear" w:color="auto" w:fill="CCEEFF"/>
          </w:tcPr>
          <w:p>
            <w:pPr>
              <w:spacing w:after="0"/>
              <w:rPr>
                <w:sz w:val="5"/>
                <w:szCs w:val="5"/>
                <w:color w:val="auto"/>
              </w:rPr>
            </w:pPr>
          </w:p>
        </w:tc>
        <w:tc>
          <w:tcPr>
            <w:tcW w:w="1780" w:type="dxa"/>
            <w:vAlign w:val="bottom"/>
            <w:tcBorders>
              <w:bottom w:val="single" w:sz="8" w:color="CCEEFF"/>
            </w:tcBorders>
            <w:gridSpan w:val="5"/>
            <w:vMerge w:val="continue"/>
            <w:shd w:val="clear" w:color="auto" w:fill="CCEEFF"/>
          </w:tcPr>
          <w:p>
            <w:pPr>
              <w:spacing w:after="0"/>
              <w:rPr>
                <w:sz w:val="5"/>
                <w:szCs w:val="5"/>
                <w:color w:val="auto"/>
              </w:rPr>
            </w:pPr>
          </w:p>
        </w:tc>
        <w:tc>
          <w:tcPr>
            <w:tcW w:w="4900" w:type="dxa"/>
            <w:vAlign w:val="bottom"/>
            <w:tcBorders>
              <w:bottom w:val="single" w:sz="8" w:color="CCEEFF"/>
            </w:tcBorders>
            <w:gridSpan w:val="5"/>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tcBorders>
              <w:top w:val="single" w:sz="8" w:color="CCEEFF"/>
            </w:tcBorders>
            <w:gridSpan w:val="28"/>
          </w:tcPr>
          <w:p>
            <w:pPr>
              <w:spacing w:after="0" w:line="17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Consent of Campbells (included in Exhibit 5.1)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23.3</w:t>
            </w:r>
          </w:p>
        </w:tc>
        <w:tc>
          <w:tcPr>
            <w:tcW w:w="2080" w:type="dxa"/>
            <w:vAlign w:val="bottom"/>
            <w:tcBorders>
              <w:bottom w:val="single" w:sz="8" w:color="CCEEFF"/>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Consent of CBIZ CPAs P.C.</w:t>
            </w:r>
          </w:p>
        </w:tc>
        <w:tc>
          <w:tcPr>
            <w:tcW w:w="240" w:type="dxa"/>
            <w:vAlign w:val="bottom"/>
            <w:tcBorders>
              <w:bottom w:val="single" w:sz="8" w:color="0000EE"/>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0000EE"/>
                <w:w w:val="94"/>
              </w:rPr>
              <w:t>(##)</w:t>
            </w:r>
          </w:p>
        </w:tc>
        <w:tc>
          <w:tcPr>
            <w:tcW w:w="2880" w:type="dxa"/>
            <w:vAlign w:val="bottom"/>
            <w:tcBorders>
              <w:bottom w:val="single" w:sz="8" w:color="CCEEFF"/>
            </w:tcBorders>
            <w:gridSpan w:val="13"/>
            <w:vMerge w:val="restart"/>
            <w:shd w:val="clear" w:color="auto" w:fill="CCEEFF"/>
          </w:tcPr>
          <w:p>
            <w:pPr>
              <w:spacing w:after="0"/>
              <w:rPr>
                <w:sz w:val="12"/>
                <w:szCs w:val="12"/>
                <w:color w:val="auto"/>
              </w:rPr>
            </w:pPr>
          </w:p>
        </w:tc>
        <w:tc>
          <w:tcPr>
            <w:tcW w:w="4900" w:type="dxa"/>
            <w:vAlign w:val="bottom"/>
            <w:tcBorders>
              <w:bottom w:val="single" w:sz="8" w:color="CCEEFF"/>
            </w:tcBorders>
            <w:gridSpan w:val="5"/>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2080" w:type="dxa"/>
            <w:vAlign w:val="bottom"/>
            <w:tcBorders>
              <w:bottom w:val="single" w:sz="8" w:color="0000EE"/>
            </w:tcBorders>
            <w:gridSpan w:val="7"/>
            <w:vMerge w:val="continue"/>
            <w:shd w:val="clear" w:color="auto" w:fill="CCEEFF"/>
          </w:tcPr>
          <w:p>
            <w:pPr>
              <w:spacing w:after="0"/>
              <w:rPr>
                <w:sz w:val="5"/>
                <w:szCs w:val="5"/>
                <w:color w:val="auto"/>
              </w:rPr>
            </w:pPr>
          </w:p>
        </w:tc>
        <w:tc>
          <w:tcPr>
            <w:tcW w:w="240" w:type="dxa"/>
            <w:vAlign w:val="bottom"/>
            <w:tcBorders>
              <w:bottom w:val="single" w:sz="8" w:color="CCEEFF"/>
            </w:tcBorders>
            <w:gridSpan w:val="3"/>
            <w:shd w:val="clear" w:color="auto" w:fill="CCEEFF"/>
          </w:tcPr>
          <w:p>
            <w:pPr>
              <w:spacing w:after="0"/>
              <w:rPr>
                <w:sz w:val="5"/>
                <w:szCs w:val="5"/>
                <w:color w:val="auto"/>
              </w:rPr>
            </w:pPr>
          </w:p>
        </w:tc>
        <w:tc>
          <w:tcPr>
            <w:tcW w:w="2880" w:type="dxa"/>
            <w:vAlign w:val="bottom"/>
            <w:tcBorders>
              <w:bottom w:val="single" w:sz="8" w:color="CCEEFF"/>
            </w:tcBorders>
            <w:gridSpan w:val="13"/>
            <w:vMerge w:val="continue"/>
            <w:shd w:val="clear" w:color="auto" w:fill="CCEEFF"/>
          </w:tcPr>
          <w:p>
            <w:pPr>
              <w:spacing w:after="0"/>
              <w:rPr>
                <w:sz w:val="5"/>
                <w:szCs w:val="5"/>
                <w:color w:val="auto"/>
              </w:rPr>
            </w:pPr>
          </w:p>
        </w:tc>
        <w:tc>
          <w:tcPr>
            <w:tcW w:w="4900" w:type="dxa"/>
            <w:vAlign w:val="bottom"/>
            <w:tcBorders>
              <w:bottom w:val="single" w:sz="8" w:color="CCEEFF"/>
            </w:tcBorders>
            <w:gridSpan w:val="5"/>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23.4</w:t>
            </w:r>
          </w:p>
        </w:tc>
        <w:tc>
          <w:tcPr>
            <w:tcW w:w="18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Consent of Marcum LLP</w:t>
            </w:r>
          </w:p>
        </w:tc>
        <w:tc>
          <w:tcPr>
            <w:tcW w:w="260" w:type="dxa"/>
            <w:vAlign w:val="bottom"/>
            <w:tcBorders>
              <w:top w:val="single" w:sz="8" w:color="CCEEFF"/>
              <w:bottom w:val="single" w:sz="8" w:color="0000EE"/>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EE"/>
              </w:rPr>
              <w:t>(##)</w:t>
            </w:r>
          </w:p>
        </w:tc>
        <w:tc>
          <w:tcPr>
            <w:tcW w:w="3140" w:type="dxa"/>
            <w:vAlign w:val="bottom"/>
            <w:tcBorders>
              <w:top w:val="single" w:sz="8" w:color="CCEEFF"/>
              <w:bottom w:val="single" w:sz="8" w:color="CCEEFF"/>
            </w:tcBorders>
            <w:gridSpan w:val="17"/>
            <w:vMerge w:val="restart"/>
          </w:tcPr>
          <w:p>
            <w:pPr>
              <w:spacing w:after="0"/>
              <w:rPr>
                <w:sz w:val="12"/>
                <w:szCs w:val="12"/>
                <w:color w:val="auto"/>
              </w:rPr>
            </w:pPr>
          </w:p>
        </w:tc>
        <w:tc>
          <w:tcPr>
            <w:tcW w:w="4900" w:type="dxa"/>
            <w:vAlign w:val="bottom"/>
            <w:tcBorders>
              <w:top w:val="single" w:sz="8" w:color="CCEEFF"/>
              <w:bottom w:val="single" w:sz="8" w:color="CCEEFF"/>
            </w:tcBorders>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800" w:type="dxa"/>
            <w:vAlign w:val="bottom"/>
            <w:tcBorders>
              <w:bottom w:val="single" w:sz="8" w:color="0000EE"/>
            </w:tcBorders>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140" w:type="dxa"/>
            <w:vAlign w:val="bottom"/>
            <w:gridSpan w:val="17"/>
            <w:vMerge w:val="continue"/>
          </w:tcPr>
          <w:p>
            <w:pPr>
              <w:spacing w:after="0"/>
              <w:rPr>
                <w:sz w:val="4"/>
                <w:szCs w:val="4"/>
                <w:color w:val="auto"/>
              </w:rPr>
            </w:pPr>
          </w:p>
        </w:tc>
        <w:tc>
          <w:tcPr>
            <w:tcW w:w="49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23.5</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Consent of Hunter Taubman Fischer &amp; Li LLC (included in Exhibit 5.2)</w:t>
              </w:r>
            </w:hyperlink>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5200" w:type="dxa"/>
            <w:vAlign w:val="bottom"/>
            <w:tcBorders>
              <w:top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452">
              <w:r>
                <w:rPr>
                  <w:rFonts w:ascii="Times New Roman" w:cs="Times New Roman" w:eastAsia="Times New Roman" w:hAnsi="Times New Roman"/>
                  <w:sz w:val="18"/>
                  <w:szCs w:val="18"/>
                  <w:color w:val="0000EE"/>
                </w:rPr>
                <w:t>Code of Business Ethics*</w:t>
              </w:r>
            </w:hyperlink>
          </w:p>
        </w:tc>
        <w:tc>
          <w:tcPr>
            <w:tcW w:w="4900" w:type="dxa"/>
            <w:vAlign w:val="bottom"/>
            <w:tcBorders>
              <w:top w:val="single" w:sz="8" w:color="CCEEFF"/>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140" w:hanging="1132"/>
        <w:spacing w:after="0" w:line="219" w:lineRule="auto"/>
        <w:tabs>
          <w:tab w:leader="none" w:pos="1140" w:val="left"/>
        </w:tabs>
        <w:numPr>
          <w:ilvl w:val="0"/>
          <w:numId w:val="172"/>
        </w:numPr>
        <w:rPr>
          <w:rFonts w:ascii="Times New Roman" w:cs="Times New Roman" w:eastAsia="Times New Roman" w:hAnsi="Times New Roman"/>
          <w:sz w:val="36"/>
          <w:szCs w:val="36"/>
          <w:u w:val="single" w:color="auto"/>
          <w:color w:val="0000EE"/>
        </w:rPr>
      </w:pPr>
      <w:hyperlink r:id="rId454">
        <w:r>
          <w:rPr>
            <w:rFonts w:ascii="Times New Roman" w:cs="Times New Roman" w:eastAsia="Times New Roman" w:hAnsi="Times New Roman"/>
            <w:sz w:val="36"/>
            <w:szCs w:val="36"/>
            <w:u w:val="single" w:color="auto"/>
            <w:color w:val="0000EE"/>
            <w:vertAlign w:val="subscript"/>
          </w:rPr>
          <w:t xml:space="preserve">Filing Fee Table </w:t>
        </w:r>
      </w:hyperlink>
      <w:r>
        <w:rPr>
          <w:rFonts w:ascii="Times New Roman" w:cs="Times New Roman" w:eastAsia="Times New Roman" w:hAnsi="Times New Roman"/>
          <w:sz w:val="29"/>
          <w:szCs w:val="29"/>
          <w:u w:val="single" w:color="auto"/>
          <w:color w:val="0000EE"/>
          <w:vertAlign w:val="superscript"/>
        </w:rPr>
        <w:t>(21a)</w:t>
      </w:r>
    </w:p>
    <w:p>
      <w:pPr>
        <w:spacing w:after="0" w:line="75" w:lineRule="exact"/>
        <w:rPr>
          <w:sz w:val="20"/>
          <w:szCs w:val="20"/>
          <w:color w:val="auto"/>
        </w:rPr>
      </w:pPr>
    </w:p>
    <w:p>
      <w:pPr>
        <w:ind w:left="580" w:right="20" w:hanging="572"/>
        <w:spacing w:after="0" w:line="261" w:lineRule="auto"/>
        <w:tabs>
          <w:tab w:leader="none" w:pos="5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pursuant to a request for confidential treatment under Rule 24b-2 of the Securities Exchange Act of 1934, as amended, and the agreement with the omitted portions has been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3317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ind w:left="580" w:hanging="572"/>
        <w:spacing w:after="0"/>
        <w:tabs>
          <w:tab w:leader="none" w:pos="5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jc w:val="both"/>
        <w:ind w:left="580" w:hanging="572"/>
        <w:spacing w:after="0" w:line="250" w:lineRule="auto"/>
        <w:tabs>
          <w:tab w:leader="none" w:pos="5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this exhibit because it both (i) is not material and (ii) would likely cause competitive harm to the Registrant if publicly disclosed; this exhibit is incorporated by reference to our Registration Statement filed on Form F-1 filed on September 27, 2019.</w:t>
      </w:r>
    </w:p>
    <w:p>
      <w:pPr>
        <w:spacing w:after="0" w:line="1"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Annual Report Filed on Form 20-F on April 15, 2019. Portions of the exhibit have been omitted in reliance on the confidential treatment provisions available pursuant to revised paragraph 4(a) of Instructions as to Exhibits of Form 20-F.</w:t>
      </w:r>
    </w:p>
    <w:p>
      <w:pPr>
        <w:ind w:left="580" w:right="20" w:hanging="572"/>
        <w:spacing w:after="0" w:line="250" w:lineRule="auto"/>
        <w:tabs>
          <w:tab w:leader="none" w:pos="5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ind w:left="580" w:hanging="572"/>
        <w:spacing w:after="0"/>
        <w:tabs>
          <w:tab w:leader="none" w:pos="5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Annual Report Filed on Form 20-F on April 29, 2022</w:t>
      </w:r>
    </w:p>
    <w:p>
      <w:pPr>
        <w:spacing w:after="0" w:line="9" w:lineRule="exact"/>
        <w:rPr>
          <w:sz w:val="20"/>
          <w:szCs w:val="20"/>
          <w:color w:val="auto"/>
        </w:rPr>
      </w:pPr>
    </w:p>
    <w:p>
      <w:pPr>
        <w:ind w:left="580" w:hanging="572"/>
        <w:spacing w:after="0"/>
        <w:tabs>
          <w:tab w:leader="none" w:pos="5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Filed on Form F-1 on September 5, 2018.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our Registration Statement Filed on Form F-1 on July 2, 2019.</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our Current Report on Form 6-K filed on August 14, 2019.</w:t>
      </w:r>
    </w:p>
    <w:p>
      <w:pPr>
        <w:spacing w:after="0" w:line="9" w:lineRule="exact"/>
        <w:rPr>
          <w:rFonts w:ascii="Times New Roman" w:cs="Times New Roman" w:eastAsia="Times New Roman" w:hAnsi="Times New Roman"/>
          <w:sz w:val="18"/>
          <w:szCs w:val="18"/>
          <w:color w:val="auto"/>
        </w:rPr>
      </w:pPr>
    </w:p>
    <w:p>
      <w:pPr>
        <w:ind w:right="3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our Registration Statement Filed on Form F-1 on November 15, 2018. ++ Incorporated by reference to our Current Report on Form 6-K filed on April 1, 2019.</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April 24,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20" w:name="page321"/>
    <w:bookmarkEnd w:id="320"/>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October 16, 2025.</w:t>
      </w:r>
    </w:p>
    <w:p>
      <w:pPr>
        <w:spacing w:after="0" w:line="27"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January 25, 2021; portions of the exhibit were omitted because they (i) are not material and (ii) would likely cause competitive harm to the Company if publicly disclosed.</w:t>
      </w: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Annual Report on Form 20-F filed on April 19, 2021.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November 17, 2021.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March 26, 2021.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October 2, 2020.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Current Report on Form 6-K filed on February 26, 2020.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Annual Report on Form 20-F filed on 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-1639570</wp:posOffset>
            </wp:positionV>
            <wp:extent cx="713232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548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(3a)</w:t>
        <w:tab/>
        <w:t>Incorporated by reference to our Registration Statement Filed on Form F-1 on September 5, 2018; portions of the exhibit were previously omitted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reliance on the confidential treatment provisions available pursuant to revised paragraph 4(a) of Instructions as to Exhibits of Form 20-F.</w:t>
      </w:r>
    </w:p>
    <w:p>
      <w:pPr>
        <w:spacing w:after="0" w:line="9" w:lineRule="exact"/>
        <w:rPr>
          <w:sz w:val="20"/>
          <w:szCs w:val="20"/>
          <w:color w:val="auto"/>
        </w:rPr>
      </w:pPr>
    </w:p>
    <w:p>
      <w:pPr>
        <w:ind w:left="580" w:right="20" w:hanging="579"/>
        <w:spacing w:after="0" w:line="250" w:lineRule="auto"/>
        <w:tabs>
          <w:tab w:leader="none" w:pos="560" w:val="left"/>
        </w:tabs>
        <w:rPr>
          <w:sz w:val="20"/>
          <w:szCs w:val="20"/>
          <w:color w:val="auto"/>
        </w:rPr>
      </w:pPr>
      <w:r>
        <w:rPr>
          <w:rFonts w:ascii="Times New Roman" w:cs="Times New Roman" w:eastAsia="Times New Roman" w:hAnsi="Times New Roman"/>
          <w:sz w:val="18"/>
          <w:szCs w:val="18"/>
          <w:color w:val="auto"/>
        </w:rPr>
        <w:t>(4a)</w:t>
        <w:tab/>
        <w:t>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(5a)</w:t>
        <w:tab/>
        <w:t>Incorporated by reference to our Annual Report on Form 20-F filed on April 15, 2019</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(8a)</w:t>
        <w:tab/>
        <w:t>Incorporated by reference to our Current Report on Form 6-K filed on February 26, 2020</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(9a)</w:t>
        <w:tab/>
        <w:t>Incorporated by reference to our Current Report on Form 6-K filed on October 2, 2020</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(10a)</w:t>
        <w:tab/>
        <w:t>Incorporated by reference to our Current Report on Form 6-K filed on March 26, 2021</w:t>
      </w:r>
    </w:p>
    <w:p>
      <w:pPr>
        <w:spacing w:after="0" w:line="9" w:lineRule="exact"/>
        <w:rPr>
          <w:sz w:val="20"/>
          <w:szCs w:val="20"/>
          <w:color w:val="auto"/>
        </w:rPr>
      </w:pPr>
    </w:p>
    <w:p>
      <w:pPr>
        <w:ind w:left="580" w:hanging="579"/>
        <w:spacing w:after="0" w:line="250" w:lineRule="auto"/>
        <w:tabs>
          <w:tab w:leader="none" w:pos="560" w:val="left"/>
        </w:tabs>
        <w:rPr>
          <w:sz w:val="20"/>
          <w:szCs w:val="20"/>
          <w:color w:val="auto"/>
        </w:rPr>
      </w:pPr>
      <w:r>
        <w:rPr>
          <w:rFonts w:ascii="Times New Roman" w:cs="Times New Roman" w:eastAsia="Times New Roman" w:hAnsi="Times New Roman"/>
          <w:sz w:val="18"/>
          <w:szCs w:val="18"/>
          <w:color w:val="auto"/>
        </w:rPr>
        <w:t>(11a)</w:t>
        <w:tab/>
        <w:t>Certain information from this exhibit has been excluded from this exhibit because it both (i) is not material and (ii) is the type that the registrant treats as private or confidential.</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(12a)</w:t>
        <w:tab/>
        <w:t>Incorporated by reference to our Annual Report on Form 20-F filed on April 19, 2021</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(13a)</w:t>
        <w:tab/>
        <w:t>Incorporated by reference to our Current Report on Form 6-K filed on November 17, 2021</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(14a)</w:t>
        <w:tab/>
        <w:t>Incorporated by reference to our Current Report on Form 6-K filed on May 26, 2021</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(15a)</w:t>
        <w:tab/>
        <w:t>Incorporated by reference to our Current Report on Form 6-K filed on November 17, 2021</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(16a)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(17a)</w:t>
        <w:tab/>
        <w:t>Reserved</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(18a)</w:t>
        <w:tab/>
        <w:t>Incorporated by reference to our Current Report on Form 6-K filed on December 9, 2022.</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(19a)</w:t>
        <w:tab/>
        <w:t>Incorporated by reference to our Annual Report on Form 20-F/A filed on January 17, 2023.</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(20a)</w:t>
        <w:tab/>
        <w:t>Incorporated by reference to our Current Report on Form 6-K filed on March 27, 2023.</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(21a)</w:t>
        <w:tab/>
        <w:t>Incorporated by reference to our Registration Statement Filed on Form F-1 on November 17, 2025.</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(22a)</w:t>
        <w:tab/>
        <w:t>Incorporated by reference to our Current Report on Form 6-K filed on September 11, 2023.</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(23a)</w:t>
        <w:tab/>
        <w:t>Incorporated by reference to our Current Report on Form 6-K filed on June 30, 2023.</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(24a)</w:t>
        <w:tab/>
        <w:t>Incorporated by reference to our Current Report on Form 6-K filed on January 7, 2025.</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(25a)</w:t>
        <w:tab/>
        <w:t>Incorporated by reference to our Current Report on Form 6-K filed on July 22, 2025.</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(26a)</w:t>
        <w:tab/>
        <w:t>Incorporated by reference to our Current Report on Form 6-K/A filed on March 26,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62785" cy="3086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F-1 of our report dated March 27, 2026 relating to the financial statements appearing in the Annual Report on Form 20-F of Aptorum Group Limited for the three years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ectPr>
          <w:pgSz w:w="11900" w:h="16838" w:orient="portrait"/>
          <w:cols w:equalWidth="0" w:num="1">
            <w:col w:w="11240"/>
          </w:cols>
          <w:pgMar w:left="320" w:top="117"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Aptorum Group Limited’s Form F-1 of our report dated October 6, 2025 relating to the financial statements of DiamiR Biosciences Corp. appearing in this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ectPr>
          <w:pgSz w:w="11900" w:h="16838" w:orient="portrait"/>
          <w:cols w:equalWidth="0" w:num="1">
            <w:col w:w="11240"/>
          </w:cols>
          <w:pgMar w:left="320" w:top="117"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Aptorum Group Limited’s Form F-1 of our report dated July 16, 2024, except for Note 15, Subsequent Events, as to which the date is August 1, 2024 relating to the financial statements of DiamiR Biosciences Corp. appearing in this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1"/>
      <w:numFmt w:val="bullet"/>
      <w:start w:val="1"/>
    </w:lvl>
  </w:abstractNum>
  <w:abstractNum w:abstractNumId="1">
    <w:nsid w:val="46B7D447"/>
    <w:multiLevelType w:val="hybridMultilevel"/>
    <w:lvl w:ilvl="0">
      <w:lvlJc w:val="left"/>
      <w:lvlText w:val="(%1)"/>
      <w:numFmt w:val="decimal"/>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1)"/>
      <w:numFmt w:val="lowerRoman"/>
      <w:start w:val="2"/>
    </w:lvl>
  </w:abstractNum>
  <w:abstractNum w:abstractNumId="11">
    <w:nsid w:val="7055A5F5"/>
    <w:multiLevelType w:val="hybridMultilevel"/>
    <w:lvl w:ilvl="0">
      <w:lvlJc w:val="left"/>
      <w:lvlText w:val="(%1)"/>
      <w:numFmt w:val="lowerRoman"/>
      <w:start w:val="3"/>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
      <w:numFmt w:val="bullet"/>
      <w:start w:val="1"/>
    </w:lvl>
    <w:lvl w:ilvl="1">
      <w:lvlJc w:val="left"/>
      <w:lvlText w:val="%2."/>
      <w:numFmt w:val="lowerRoman"/>
      <w:start w:val="1"/>
    </w:lvl>
  </w:abstractNum>
  <w:abstractNum w:abstractNumId="14">
    <w:nsid w:val="488AC1A"/>
    <w:multiLevelType w:val="hybridMultilevel"/>
    <w:lvl w:ilvl="0">
      <w:lvlJc w:val="left"/>
      <w:lvlText w:val="●"/>
      <w:numFmt w:val="bullet"/>
      <w:start w:val="1"/>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
      <w:numFmt w:val="bullet"/>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
      <w:numFmt w:val="bullet"/>
      <w:start w:val="1"/>
    </w:lvl>
  </w:abstractNum>
  <w:abstractNum w:abstractNumId="20">
    <w:nsid w:val="7D5E18F8"/>
    <w:multiLevelType w:val="hybridMultilevel"/>
    <w:lvl w:ilvl="0">
      <w:lvlJc w:val="left"/>
      <w:lvlText w:val="●"/>
      <w:numFmt w:val="bullet"/>
      <w:start w:val="1"/>
    </w:lvl>
  </w:abstractNum>
  <w:abstractNum w:abstractNumId="21">
    <w:nsid w:val="5F3534A4"/>
    <w:multiLevelType w:val="hybridMultilevel"/>
    <w:lvl w:ilvl="0">
      <w:lvlJc w:val="left"/>
      <w:lvlText w:val="●"/>
      <w:numFmt w:val="bullet"/>
      <w:start w:val="1"/>
    </w:lvl>
    <w:lvl w:ilvl="1">
      <w:lvlJc w:val="left"/>
      <w:lvlText w:val="-"/>
      <w:numFmt w:val="bullet"/>
      <w:start w:val="1"/>
    </w:lvl>
  </w:abstractNum>
  <w:abstractNum w:abstractNumId="22">
    <w:nsid w:val="73A1821B"/>
    <w:multiLevelType w:val="hybridMultilevel"/>
    <w:lvl w:ilvl="0">
      <w:lvlJc w:val="left"/>
      <w:lvlText w:val="●"/>
      <w:numFmt w:val="bullet"/>
      <w:start w:val="1"/>
    </w:lvl>
  </w:abstractNum>
  <w:abstractNum w:abstractNumId="23">
    <w:nsid w:val="7DE67713"/>
    <w:multiLevelType w:val="hybridMultilevel"/>
    <w:lvl w:ilvl="0">
      <w:lvlJc w:val="left"/>
      <w:lvlText w:val="-"/>
      <w:numFmt w:val="bullet"/>
      <w:start w:val="1"/>
    </w:lvl>
  </w:abstractNum>
  <w:abstractNum w:abstractNumId="24">
    <w:nsid w:val="555C55B5"/>
    <w:multiLevelType w:val="hybridMultilevel"/>
    <w:lvl w:ilvl="0">
      <w:lvlJc w:val="left"/>
      <w:lvlText w:val="-"/>
      <w:numFmt w:val="bullet"/>
      <w:start w:val="1"/>
    </w:lvl>
    <w:lvl w:ilvl="1">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1)"/>
      <w:numFmt w:val="lowerRoman"/>
      <w:start w:val="6"/>
    </w:lvl>
  </w:abstractNum>
  <w:abstractNum w:abstractNumId="27">
    <w:nsid w:val="6A3DD3E8"/>
    <w:multiLevelType w:val="hybridMultilevel"/>
    <w:lvl w:ilvl="0">
      <w:lvlJc w:val="left"/>
      <w:lvlText w:val="●"/>
      <w:numFmt w:val="bullet"/>
      <w:start w:val="1"/>
    </w:lvl>
  </w:abstractNum>
  <w:abstractNum w:abstractNumId="28">
    <w:nsid w:val="71C91298"/>
    <w:multiLevelType w:val="hybridMultilevel"/>
    <w:lvl w:ilvl="0">
      <w:lvlJc w:val="left"/>
      <w:lvlText w:val="●"/>
      <w:numFmt w:val="bullet"/>
      <w:start w:val="1"/>
    </w:lvl>
  </w:abstractNum>
  <w:abstractNum w:abstractNumId="29">
    <w:nsid w:val="9DAF632"/>
    <w:multiLevelType w:val="hybridMultilevel"/>
    <w:lvl w:ilvl="0">
      <w:lvlJc w:val="left"/>
      <w:lvlText w:val="●"/>
      <w:numFmt w:val="bullet"/>
      <w:start w:val="1"/>
    </w:lvl>
  </w:abstractNum>
  <w:abstractNum w:abstractNumId="30">
    <w:nsid w:val="53299938"/>
    <w:multiLevelType w:val="hybridMultilevel"/>
    <w:lvl w:ilvl="0">
      <w:lvlJc w:val="left"/>
      <w:lvlText w:val="●"/>
      <w:numFmt w:val="bullet"/>
      <w:start w:val="1"/>
    </w:lvl>
  </w:abstractNum>
  <w:abstractNum w:abstractNumId="31">
    <w:nsid w:val="1FBFE8E0"/>
    <w:multiLevelType w:val="hybridMultilevel"/>
    <w:lvl w:ilvl="0">
      <w:lvlJc w:val="left"/>
      <w:lvlText w:val="(%1)"/>
      <w:numFmt w:val="lowerRoman"/>
      <w:start w:val="6"/>
    </w:lvl>
  </w:abstractNum>
  <w:abstractNum w:abstractNumId="32">
    <w:nsid w:val="5092CA79"/>
    <w:multiLevelType w:val="hybridMultilevel"/>
    <w:lvl w:ilvl="0">
      <w:lvlJc w:val="left"/>
      <w:lvlText w:val="●"/>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
      <w:numFmt w:val="bullet"/>
      <w:start w:val="1"/>
    </w:lvl>
  </w:abstractNum>
  <w:abstractNum w:abstractNumId="35">
    <w:nsid w:val="288F1A34"/>
    <w:multiLevelType w:val="hybridMultilevel"/>
    <w:lvl w:ilvl="0">
      <w:lvlJc w:val="left"/>
      <w:lvlText w:val="●"/>
      <w:numFmt w:val="bullet"/>
      <w:start w:val="1"/>
    </w:lvl>
  </w:abstractNum>
  <w:abstractNum w:abstractNumId="36">
    <w:nsid w:val="2A155DBC"/>
    <w:multiLevelType w:val="hybridMultilevel"/>
    <w:lvl w:ilvl="0">
      <w:lvlJc w:val="left"/>
      <w:lvlText w:val="●"/>
      <w:numFmt w:val="bullet"/>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
      <w:numFmt w:val="bullet"/>
      <w:start w:val="1"/>
    </w:lvl>
  </w:abstractNum>
  <w:abstractNum w:abstractNumId="40">
    <w:nsid w:val="1CA0C5FA"/>
    <w:multiLevelType w:val="hybridMultilevel"/>
    <w:lvl w:ilvl="0">
      <w:lvlJc w:val="left"/>
      <w:lvlText w:val="●"/>
      <w:numFmt w:val="bullet"/>
      <w:start w:val="1"/>
    </w:lvl>
  </w:abstractNum>
  <w:abstractNum w:abstractNumId="41">
    <w:nsid w:val="53584BCB"/>
    <w:multiLevelType w:val="hybridMultilevel"/>
    <w:lvl w:ilvl="0">
      <w:lvlJc w:val="left"/>
      <w:lvlText w:val="●"/>
      <w:numFmt w:val="bullet"/>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1)"/>
      <w:numFmt w:val="decimal"/>
      <w:start w:val="2"/>
    </w:lvl>
  </w:abstractNum>
  <w:abstractNum w:abstractNumId="44">
    <w:nsid w:val="23D86AAC"/>
    <w:multiLevelType w:val="hybridMultilevel"/>
    <w:lvl w:ilvl="0">
      <w:lvlJc w:val="left"/>
      <w:lvlText w:val="●"/>
      <w:numFmt w:val="bullet"/>
      <w:start w:val="1"/>
    </w:lvl>
  </w:abstractNum>
  <w:abstractNum w:abstractNumId="45">
    <w:nsid w:val="45E6D486"/>
    <w:multiLevelType w:val="hybridMultilevel"/>
    <w:lvl w:ilvl="0">
      <w:lvlJc w:val="left"/>
      <w:lvlText w:val="●"/>
      <w:numFmt w:val="bullet"/>
      <w:start w:val="1"/>
    </w:lvl>
  </w:abstractNum>
  <w:abstractNum w:abstractNumId="46">
    <w:nsid w:val="5C10FE21"/>
    <w:multiLevelType w:val="hybridMultilevel"/>
    <w:lvl w:ilvl="0">
      <w:lvlJc w:val="left"/>
      <w:lvlText w:val="●"/>
      <w:numFmt w:val="bullet"/>
      <w:start w:val="1"/>
    </w:lvl>
  </w:abstractNum>
  <w:abstractNum w:abstractNumId="47">
    <w:nsid w:val="E7FFA2B"/>
    <w:multiLevelType w:val="hybridMultilevel"/>
    <w:lvl w:ilvl="0">
      <w:lvlJc w:val="left"/>
      <w:lvlText w:val="●"/>
      <w:numFmt w:val="bullet"/>
      <w:start w:val="1"/>
    </w:lvl>
  </w:abstractNum>
  <w:abstractNum w:abstractNumId="48">
    <w:nsid w:val="3C5991AA"/>
    <w:multiLevelType w:val="hybridMultilevel"/>
    <w:lvl w:ilvl="0">
      <w:lvlJc w:val="left"/>
      <w:lvlText w:val="●"/>
      <w:numFmt w:val="bullet"/>
      <w:start w:val="1"/>
    </w:lvl>
  </w:abstractNum>
  <w:abstractNum w:abstractNumId="49">
    <w:nsid w:val="4BD8591A"/>
    <w:multiLevelType w:val="hybridMultilevel"/>
    <w:lvl w:ilvl="0">
      <w:lvlJc w:val="left"/>
      <w:lvlText w:val="●"/>
      <w:numFmt w:val="bullet"/>
      <w:start w:val="1"/>
    </w:lvl>
  </w:abstractNum>
  <w:abstractNum w:abstractNumId="50">
    <w:nsid w:val="78DF6A55"/>
    <w:multiLevelType w:val="hybridMultilevel"/>
    <w:lvl w:ilvl="0">
      <w:lvlJc w:val="left"/>
      <w:lvlText w:val="●"/>
      <w:numFmt w:val="bullet"/>
      <w:start w:val="1"/>
    </w:lvl>
  </w:abstractNum>
  <w:abstractNum w:abstractNumId="51">
    <w:nsid w:val="39B7AAA2"/>
    <w:multiLevelType w:val="hybridMultilevel"/>
    <w:lvl w:ilvl="0">
      <w:lvlJc w:val="left"/>
      <w:lvlText w:val="●"/>
      <w:numFmt w:val="bullet"/>
      <w:start w:val="1"/>
    </w:lvl>
  </w:abstractNum>
  <w:abstractNum w:abstractNumId="52">
    <w:nsid w:val="2B0D8DBE"/>
    <w:multiLevelType w:val="hybridMultilevel"/>
    <w:lvl w:ilvl="0">
      <w:lvlJc w:val="left"/>
      <w:lvlText w:val="●"/>
      <w:numFmt w:val="bullet"/>
      <w:start w:val="1"/>
    </w:lvl>
  </w:abstractNum>
  <w:abstractNum w:abstractNumId="53">
    <w:nsid w:val="6C80EC70"/>
    <w:multiLevelType w:val="hybridMultilevel"/>
    <w:lvl w:ilvl="0">
      <w:lvlJc w:val="left"/>
      <w:lvlText w:val="●"/>
      <w:numFmt w:val="bullet"/>
      <w:start w:val="1"/>
    </w:lvl>
  </w:abstractNum>
  <w:abstractNum w:abstractNumId="54">
    <w:nsid w:val="379E21B5"/>
    <w:multiLevelType w:val="hybridMultilevel"/>
    <w:lvl w:ilvl="0">
      <w:lvlJc w:val="left"/>
      <w:lvlText w:val="●"/>
      <w:numFmt w:val="bullet"/>
      <w:start w:val="1"/>
    </w:lvl>
  </w:abstractNum>
  <w:abstractNum w:abstractNumId="55">
    <w:nsid w:val="69E373"/>
    <w:multiLevelType w:val="hybridMultilevel"/>
    <w:lvl w:ilvl="0">
      <w:lvlJc w:val="left"/>
      <w:lvlText w:val="●"/>
      <w:numFmt w:val="bullet"/>
      <w:start w:val="1"/>
    </w:lvl>
  </w:abstractNum>
  <w:abstractNum w:abstractNumId="56">
    <w:nsid w:val="2C27173B"/>
    <w:multiLevelType w:val="hybridMultilevel"/>
    <w:lvl w:ilvl="0">
      <w:lvlJc w:val="left"/>
      <w:lvlText w:val="●"/>
      <w:numFmt w:val="bullet"/>
      <w:start w:val="1"/>
    </w:lvl>
  </w:abstractNum>
  <w:abstractNum w:abstractNumId="57">
    <w:nsid w:val="4C9B0904"/>
    <w:multiLevelType w:val="hybridMultilevel"/>
    <w:lvl w:ilvl="0">
      <w:lvlJc w:val="left"/>
      <w:lvlText w:val="●"/>
      <w:numFmt w:val="bullet"/>
      <w:start w:val="1"/>
    </w:lvl>
  </w:abstractNum>
  <w:abstractNum w:abstractNumId="58">
    <w:nsid w:val="6AA7B75C"/>
    <w:multiLevelType w:val="hybridMultilevel"/>
    <w:lvl w:ilvl="0">
      <w:lvlJc w:val="left"/>
      <w:lvlText w:val="(%1)"/>
      <w:numFmt w:val="decimal"/>
      <w:start w:val="3"/>
    </w:lvl>
  </w:abstractNum>
  <w:abstractNum w:abstractNumId="59">
    <w:nsid w:val="1DF029D3"/>
    <w:multiLevelType w:val="hybridMultilevel"/>
    <w:lvl w:ilvl="0">
      <w:lvlJc w:val="left"/>
      <w:lvlText w:val="●"/>
      <w:numFmt w:val="bullet"/>
      <w:start w:val="1"/>
    </w:lvl>
  </w:abstractNum>
  <w:abstractNum w:abstractNumId="60">
    <w:nsid w:val="5675FF36"/>
    <w:multiLevelType w:val="hybridMultilevel"/>
    <w:lvl w:ilvl="0">
      <w:lvlJc w:val="left"/>
      <w:lvlText w:val="(%1)"/>
      <w:numFmt w:val="lowerRoman"/>
      <w:start w:val="1"/>
    </w:lvl>
  </w:abstractNum>
  <w:abstractNum w:abstractNumId="61">
    <w:nsid w:val="3DD15094"/>
    <w:multiLevelType w:val="hybridMultilevel"/>
    <w:lvl w:ilvl="0">
      <w:lvlJc w:val="left"/>
      <w:lvlText w:val="(%1)"/>
      <w:numFmt w:val="lowerRoman"/>
      <w:start w:val="3"/>
    </w:lvl>
  </w:abstractNum>
  <w:abstractNum w:abstractNumId="62">
    <w:nsid w:val="3DB012B3"/>
    <w:multiLevelType w:val="hybridMultilevel"/>
    <w:lvl w:ilvl="0">
      <w:lvlJc w:val="left"/>
      <w:lvlText w:val="(%1)"/>
      <w:numFmt w:val="lowerRoman"/>
      <w:start w:val="3"/>
    </w:lvl>
  </w:abstractNum>
  <w:abstractNum w:abstractNumId="63">
    <w:nsid w:val="2708C9AF"/>
    <w:multiLevelType w:val="hybridMultilevel"/>
    <w:lvl w:ilvl="0">
      <w:lvlJc w:val="left"/>
      <w:lvlText w:val="●"/>
      <w:numFmt w:val="bullet"/>
      <w:start w:val="1"/>
    </w:lvl>
  </w:abstractNum>
  <w:abstractNum w:abstractNumId="64">
    <w:nsid w:val="5B25ACE2"/>
    <w:multiLevelType w:val="hybridMultilevel"/>
    <w:lvl w:ilvl="0">
      <w:lvlJc w:val="left"/>
      <w:lvlText w:val="●"/>
      <w:numFmt w:val="bullet"/>
      <w:start w:val="1"/>
    </w:lvl>
  </w:abstractNum>
  <w:abstractNum w:abstractNumId="65">
    <w:nsid w:val="175DFCF0"/>
    <w:multiLevelType w:val="hybridMultilevel"/>
    <w:lvl w:ilvl="0">
      <w:lvlJc w:val="left"/>
      <w:lvlText w:val="●"/>
      <w:numFmt w:val="bullet"/>
      <w:start w:val="1"/>
    </w:lvl>
  </w:abstractNum>
  <w:abstractNum w:abstractNumId="66">
    <w:nsid w:val="4F97E3E4"/>
    <w:multiLevelType w:val="hybridMultilevel"/>
    <w:lvl w:ilvl="0">
      <w:lvlJc w:val="left"/>
      <w:lvlText w:val="●"/>
      <w:numFmt w:val="bullet"/>
      <w:start w:val="1"/>
    </w:lvl>
  </w:abstractNum>
  <w:abstractNum w:abstractNumId="67">
    <w:nsid w:val="53B0A9E"/>
    <w:multiLevelType w:val="hybridMultilevel"/>
    <w:lvl w:ilvl="0">
      <w:lvlJc w:val="left"/>
      <w:lvlText w:val="●"/>
      <w:numFmt w:val="bullet"/>
      <w:start w:val="1"/>
    </w:lvl>
  </w:abstractNum>
  <w:abstractNum w:abstractNumId="68">
    <w:nsid w:val="34FD6B4F"/>
    <w:multiLevelType w:val="hybridMultilevel"/>
    <w:lvl w:ilvl="0">
      <w:lvlJc w:val="left"/>
      <w:lvlText w:val="●"/>
      <w:numFmt w:val="bullet"/>
      <w:start w:val="1"/>
    </w:lvl>
  </w:abstractNum>
  <w:abstractNum w:abstractNumId="69">
    <w:nsid w:val="5915FF32"/>
    <w:multiLevelType w:val="hybridMultilevel"/>
    <w:lvl w:ilvl="0">
      <w:lvlJc w:val="left"/>
      <w:lvlText w:val="●"/>
      <w:numFmt w:val="bullet"/>
      <w:start w:val="1"/>
    </w:lvl>
    <w:lvl w:ilvl="1">
      <w:lvlJc w:val="left"/>
      <w:lvlText w:val="●"/>
      <w:numFmt w:val="bullet"/>
      <w:start w:val="1"/>
    </w:lvl>
  </w:abstractNum>
  <w:abstractNum w:abstractNumId="70">
    <w:nsid w:val="56438D15"/>
    <w:multiLevelType w:val="hybridMultilevel"/>
    <w:lvl w:ilvl="0">
      <w:lvlJc w:val="left"/>
      <w:lvlText w:val="●"/>
      <w:numFmt w:val="bullet"/>
      <w:start w:val="1"/>
    </w:lvl>
  </w:abstractNum>
  <w:abstractNum w:abstractNumId="71">
    <w:nsid w:val="519E3149"/>
    <w:multiLevelType w:val="hybridMultilevel"/>
    <w:lvl w:ilvl="0">
      <w:lvlJc w:val="left"/>
      <w:lvlText w:val="●"/>
      <w:numFmt w:val="bullet"/>
      <w:start w:val="1"/>
    </w:lvl>
  </w:abstractNum>
  <w:abstractNum w:abstractNumId="72">
    <w:nsid w:val="2C6E4AFD"/>
    <w:multiLevelType w:val="hybridMultilevel"/>
    <w:lvl w:ilvl="0">
      <w:lvlJc w:val="left"/>
      <w:lvlText w:val="●"/>
      <w:numFmt w:val="bullet"/>
      <w:start w:val="1"/>
    </w:lvl>
  </w:abstractNum>
  <w:abstractNum w:abstractNumId="73">
    <w:nsid w:val="17A1B582"/>
    <w:multiLevelType w:val="hybridMultilevel"/>
    <w:lvl w:ilvl="0">
      <w:lvlJc w:val="left"/>
      <w:lvlText w:val="●"/>
      <w:numFmt w:val="bullet"/>
      <w:start w:val="1"/>
    </w:lvl>
  </w:abstractNum>
  <w:abstractNum w:abstractNumId="74">
    <w:nsid w:val="4DF72E4E"/>
    <w:multiLevelType w:val="hybridMultilevel"/>
    <w:lvl w:ilvl="0">
      <w:lvlJc w:val="left"/>
      <w:lvlText w:val="●"/>
      <w:numFmt w:val="bullet"/>
      <w:start w:val="1"/>
    </w:lvl>
  </w:abstractNum>
  <w:abstractNum w:abstractNumId="75">
    <w:nsid w:val="5046B5A9"/>
    <w:multiLevelType w:val="hybridMultilevel"/>
    <w:lvl w:ilvl="0">
      <w:lvlJc w:val="left"/>
      <w:lvlText w:val="(%1)"/>
      <w:numFmt w:val="decimal"/>
      <w:start w:val="1"/>
    </w:lvl>
  </w:abstractNum>
  <w:abstractNum w:abstractNumId="76">
    <w:nsid w:val="5D888A08"/>
    <w:multiLevelType w:val="hybridMultilevel"/>
    <w:lvl w:ilvl="0">
      <w:lvlJc w:val="left"/>
      <w:lvlText w:val="●"/>
      <w:numFmt w:val="bullet"/>
      <w:start w:val="1"/>
    </w:lvl>
  </w:abstractNum>
  <w:abstractNum w:abstractNumId="77">
    <w:nsid w:val="2A082C70"/>
    <w:multiLevelType w:val="hybridMultilevel"/>
    <w:lvl w:ilvl="0">
      <w:lvlJc w:val="left"/>
      <w:lvlText w:val="●"/>
      <w:numFmt w:val="bullet"/>
      <w:start w:val="1"/>
    </w:lvl>
  </w:abstractNum>
  <w:abstractNum w:abstractNumId="78">
    <w:nsid w:val="5EC6AFD4"/>
    <w:multiLevelType w:val="hybridMultilevel"/>
    <w:lvl w:ilvl="0">
      <w:lvlJc w:val="left"/>
      <w:lvlText w:val="●"/>
      <w:numFmt w:val="bullet"/>
      <w:start w:val="1"/>
    </w:lvl>
  </w:abstractNum>
  <w:abstractNum w:abstractNumId="79">
    <w:nsid w:val="19E21BB2"/>
    <w:multiLevelType w:val="hybridMultilevel"/>
    <w:lvl w:ilvl="0">
      <w:lvlJc w:val="left"/>
      <w:lvlText w:val="(%1)"/>
      <w:numFmt w:val="lowerRoman"/>
      <w:start w:val="1"/>
    </w:lvl>
  </w:abstractNum>
  <w:abstractNum w:abstractNumId="80">
    <w:nsid w:val="75E0858A"/>
    <w:multiLevelType w:val="hybridMultilevel"/>
    <w:lvl w:ilvl="0">
      <w:lvlJc w:val="left"/>
      <w:lvlText w:val="●"/>
      <w:numFmt w:val="bullet"/>
      <w:start w:val="1"/>
    </w:lvl>
  </w:abstractNum>
  <w:abstractNum w:abstractNumId="81">
    <w:nsid w:val="57A61A29"/>
    <w:multiLevelType w:val="hybridMultilevel"/>
    <w:lvl w:ilvl="0">
      <w:lvlJc w:val="left"/>
      <w:lvlText w:val="●"/>
      <w:numFmt w:val="bullet"/>
      <w:start w:val="1"/>
    </w:lvl>
  </w:abstractNum>
  <w:abstractNum w:abstractNumId="82">
    <w:nsid w:val="5399C654"/>
    <w:multiLevelType w:val="hybridMultilevel"/>
    <w:lvl w:ilvl="0">
      <w:lvlJc w:val="left"/>
      <w:lvlText w:val="●"/>
      <w:numFmt w:val="bullet"/>
      <w:start w:val="1"/>
    </w:lvl>
  </w:abstractNum>
  <w:abstractNum w:abstractNumId="83">
    <w:nsid w:val="20EE1348"/>
    <w:multiLevelType w:val="hybridMultilevel"/>
    <w:lvl w:ilvl="0">
      <w:lvlJc w:val="left"/>
      <w:lvlText w:val="●"/>
      <w:numFmt w:val="bullet"/>
      <w:start w:val="1"/>
    </w:lvl>
  </w:abstractNum>
  <w:abstractNum w:abstractNumId="84">
    <w:nsid w:val="4427069A"/>
    <w:multiLevelType w:val="hybridMultilevel"/>
    <w:lvl w:ilvl="0">
      <w:lvlJc w:val="left"/>
      <w:lvlText w:val="*"/>
      <w:numFmt w:val="bullet"/>
      <w:start w:val="1"/>
    </w:lvl>
  </w:abstractNum>
  <w:abstractNum w:abstractNumId="85">
    <w:nsid w:val="B37E80A"/>
    <w:multiLevelType w:val="hybridMultilevel"/>
    <w:lvl w:ilvl="0">
      <w:lvlJc w:val="left"/>
      <w:lvlText w:val="●"/>
      <w:numFmt w:val="bullet"/>
      <w:start w:val="1"/>
    </w:lvl>
  </w:abstractNum>
  <w:abstractNum w:abstractNumId="86">
    <w:nsid w:val="2157F6BC"/>
    <w:multiLevelType w:val="hybridMultilevel"/>
    <w:lvl w:ilvl="0">
      <w:lvlJc w:val="left"/>
      <w:lvlText w:val="●"/>
      <w:numFmt w:val="bullet"/>
      <w:start w:val="1"/>
    </w:lvl>
  </w:abstractNum>
  <w:abstractNum w:abstractNumId="87">
    <w:nsid w:val="704E1DD5"/>
    <w:multiLevelType w:val="hybridMultilevel"/>
    <w:lvl w:ilvl="0">
      <w:lvlJc w:val="left"/>
      <w:lvlText w:val="\emdash "/>
      <w:numFmt w:val="bullet"/>
      <w:start w:val="1"/>
    </w:lvl>
  </w:abstractNum>
  <w:abstractNum w:abstractNumId="88">
    <w:nsid w:val="57D2F10E"/>
    <w:multiLevelType w:val="hybridMultilevel"/>
    <w:lvl w:ilvl="0">
      <w:lvlJc w:val="left"/>
      <w:lvlText w:val="●"/>
      <w:numFmt w:val="bullet"/>
      <w:start w:val="1"/>
    </w:lvl>
  </w:abstractNum>
  <w:abstractNum w:abstractNumId="89">
    <w:nsid w:val="BFFAE18"/>
    <w:multiLevelType w:val="hybridMultilevel"/>
    <w:lvl w:ilvl="0">
      <w:lvlJc w:val="left"/>
      <w:lvlText w:val="●"/>
      <w:numFmt w:val="bullet"/>
      <w:start w:val="1"/>
    </w:lvl>
  </w:abstractNum>
  <w:abstractNum w:abstractNumId="90">
    <w:nsid w:val="E3E47A8"/>
    <w:multiLevelType w:val="hybridMultilevel"/>
    <w:lvl w:ilvl="0">
      <w:lvlJc w:val="left"/>
      <w:lvlText w:val="●"/>
      <w:numFmt w:val="bullet"/>
      <w:start w:val="1"/>
    </w:lvl>
  </w:abstractNum>
  <w:abstractNum w:abstractNumId="91">
    <w:nsid w:val="2E48F044"/>
    <w:multiLevelType w:val="hybridMultilevel"/>
    <w:lvl w:ilvl="0">
      <w:lvlJc w:val="left"/>
      <w:lvlText w:val="●"/>
      <w:numFmt w:val="bullet"/>
      <w:start w:val="1"/>
    </w:lvl>
  </w:abstractNum>
  <w:abstractNum w:abstractNumId="92">
    <w:nsid w:val="49D0FEAC"/>
    <w:multiLevelType w:val="hybridMultilevel"/>
    <w:lvl w:ilvl="0">
      <w:lvlJc w:val="left"/>
      <w:lvlText w:val="●"/>
      <w:numFmt w:val="bullet"/>
      <w:start w:val="1"/>
    </w:lvl>
  </w:abstractNum>
  <w:abstractNum w:abstractNumId="93">
    <w:nsid w:val="4BEE5A5B"/>
    <w:multiLevelType w:val="hybridMultilevel"/>
    <w:lvl w:ilvl="0">
      <w:lvlJc w:val="left"/>
      <w:lvlText w:val="●"/>
      <w:numFmt w:val="bullet"/>
      <w:start w:val="1"/>
    </w:lvl>
  </w:abstractNum>
  <w:abstractNum w:abstractNumId="94">
    <w:nsid w:val="5551B9F3"/>
    <w:multiLevelType w:val="hybridMultilevel"/>
    <w:lvl w:ilvl="0">
      <w:lvlJc w:val="left"/>
      <w:lvlText w:val="●"/>
      <w:numFmt w:val="bullet"/>
      <w:start w:val="1"/>
    </w:lvl>
  </w:abstractNum>
  <w:abstractNum w:abstractNumId="95">
    <w:nsid w:val="24F6AB8E"/>
    <w:multiLevelType w:val="hybridMultilevel"/>
    <w:lvl w:ilvl="0">
      <w:lvlJc w:val="left"/>
      <w:lvlText w:val="%1"/>
      <w:numFmt w:val="decimal"/>
      <w:start w:val="1"/>
    </w:lvl>
    <w:lvl w:ilvl="1">
      <w:lvlJc w:val="left"/>
      <w:lvlText w:val="(%2)"/>
      <w:numFmt w:val="decimal"/>
      <w:start w:val="1"/>
    </w:lvl>
  </w:abstractNum>
  <w:abstractNum w:abstractNumId="96">
    <w:nsid w:val="634C574C"/>
    <w:multiLevelType w:val="hybridMultilevel"/>
    <w:lvl w:ilvl="0">
      <w:lvlJc w:val="left"/>
      <w:lvlText w:val="(%1)"/>
      <w:numFmt w:val="decimal"/>
      <w:start w:val="2"/>
    </w:lvl>
    <w:lvl w:ilvl="1">
      <w:lvlJc w:val="left"/>
      <w:lvlText w:val="%2"/>
      <w:numFmt w:val="decimal"/>
      <w:start w:val="1"/>
    </w:lvl>
  </w:abstractNum>
  <w:abstractNum w:abstractNumId="97">
    <w:nsid w:val="24E99DD7"/>
    <w:multiLevelType w:val="hybridMultilevel"/>
    <w:lvl w:ilvl="0">
      <w:lvlJc w:val="left"/>
      <w:lvlText w:val="●"/>
      <w:numFmt w:val="bullet"/>
      <w:start w:val="1"/>
    </w:lvl>
  </w:abstractNum>
  <w:abstractNum w:abstractNumId="98">
    <w:nsid w:val="2A31B62D"/>
    <w:multiLevelType w:val="hybridMultilevel"/>
    <w:lvl w:ilvl="0">
      <w:lvlJc w:val="left"/>
      <w:lvlText w:val="●"/>
      <w:numFmt w:val="bullet"/>
      <w:start w:val="1"/>
    </w:lvl>
  </w:abstractNum>
  <w:abstractNum w:abstractNumId="99">
    <w:nsid w:val="1849C29B"/>
    <w:multiLevelType w:val="hybridMultilevel"/>
    <w:lvl w:ilvl="0">
      <w:lvlJc w:val="left"/>
      <w:lvlText w:val="●"/>
      <w:numFmt w:val="bullet"/>
      <w:start w:val="1"/>
    </w:lvl>
  </w:abstractNum>
  <w:abstractNum w:abstractNumId="100">
    <w:nsid w:val="7DFF9D09"/>
    <w:multiLevelType w:val="hybridMultilevel"/>
    <w:lvl w:ilvl="0">
      <w:lvlJc w:val="left"/>
      <w:lvlText w:val="●"/>
      <w:numFmt w:val="bullet"/>
      <w:start w:val="1"/>
    </w:lvl>
  </w:abstractNum>
  <w:abstractNum w:abstractNumId="101">
    <w:nsid w:val="754342"/>
    <w:multiLevelType w:val="hybridMultilevel"/>
    <w:lvl w:ilvl="0">
      <w:lvlJc w:val="left"/>
      <w:lvlText w:val="●"/>
      <w:numFmt w:val="bullet"/>
      <w:start w:val="1"/>
    </w:lvl>
  </w:abstractNum>
  <w:abstractNum w:abstractNumId="102">
    <w:nsid w:val="69E7F3E5"/>
    <w:multiLevelType w:val="hybridMultilevel"/>
    <w:lvl w:ilvl="0">
      <w:lvlJc w:val="left"/>
      <w:lvlText w:val="="/>
      <w:numFmt w:val="bullet"/>
      <w:start w:val="1"/>
    </w:lvl>
  </w:abstractNum>
  <w:abstractNum w:abstractNumId="103">
    <w:nsid w:val="2A6DE806"/>
    <w:multiLevelType w:val="hybridMultilevel"/>
    <w:lvl w:ilvl="0">
      <w:lvlJc w:val="left"/>
      <w:lvlText w:val="%1."/>
      <w:numFmt w:val="decimal"/>
      <w:start w:val="1"/>
    </w:lvl>
  </w:abstractNum>
  <w:abstractNum w:abstractNumId="104">
    <w:nsid w:val="1816F8C4"/>
    <w:multiLevelType w:val="hybridMultilevel"/>
    <w:lvl w:ilvl="0">
      <w:lvlJc w:val="left"/>
      <w:lvlText w:val="%1."/>
      <w:numFmt w:val="decimal"/>
      <w:start w:val="7"/>
    </w:lvl>
    <w:lvl w:ilvl="1">
      <w:lvlJc w:val="left"/>
      <w:lvlText w:val="%2."/>
      <w:numFmt w:val="upperLetter"/>
      <w:start w:val="19"/>
    </w:lvl>
  </w:abstractNum>
  <w:abstractNum w:abstractNumId="105">
    <w:nsid w:val="37DF2233"/>
    <w:multiLevelType w:val="hybridMultilevel"/>
    <w:lvl w:ilvl="0">
      <w:lvlJc w:val="left"/>
      <w:lvlText w:val="%1"/>
      <w:numFmt w:val="decimal"/>
      <w:start w:val="1"/>
    </w:lvl>
    <w:lvl w:ilvl="1">
      <w:lvlJc w:val="left"/>
      <w:lvlText w:val="%2."/>
      <w:numFmt w:val="upperLetter"/>
      <w:start w:val="7"/>
    </w:lvl>
  </w:abstractNum>
  <w:abstractNum w:abstractNumId="106">
    <w:nsid w:val="7AB49DAF"/>
    <w:multiLevelType w:val="hybridMultilevel"/>
    <w:lvl w:ilvl="0">
      <w:lvlJc w:val="left"/>
      <w:lvlText w:val="%1."/>
      <w:numFmt w:val="decimal"/>
      <w:start w:val="10"/>
    </w:lvl>
    <w:lvl w:ilvl="1">
      <w:lvlJc w:val="left"/>
      <w:lvlText w:val="%2"/>
      <w:numFmt w:val="upperLetter"/>
      <w:start w:val="1"/>
    </w:lvl>
  </w:abstractNum>
  <w:abstractNum w:abstractNumId="107">
    <w:nsid w:val="759F82CD"/>
    <w:multiLevelType w:val="hybridMultilevel"/>
    <w:lvl w:ilvl="0">
      <w:lvlJc w:val="left"/>
      <w:lvlText w:val="*"/>
      <w:numFmt w:val="bullet"/>
      <w:start w:val="1"/>
    </w:lvl>
  </w:abstractNum>
  <w:abstractNum w:abstractNumId="108">
    <w:nsid w:val="61E74EA3"/>
    <w:multiLevelType w:val="hybridMultilevel"/>
    <w:lvl w:ilvl="0">
      <w:lvlJc w:val="left"/>
      <w:lvlText w:val="%1."/>
      <w:numFmt w:val="decimal"/>
      <w:start w:val="1"/>
    </w:lvl>
  </w:abstractNum>
  <w:abstractNum w:abstractNumId="109">
    <w:nsid w:val="597B4D84"/>
    <w:multiLevelType w:val="hybridMultilevel"/>
    <w:lvl w:ilvl="0">
      <w:lvlJc w:val="left"/>
      <w:lvlText w:val="%1."/>
      <w:numFmt w:val="decimal"/>
      <w:start w:val="2"/>
    </w:lvl>
  </w:abstractNum>
  <w:abstractNum w:abstractNumId="110">
    <w:nsid w:val="F819E7F"/>
    <w:multiLevelType w:val="hybridMultilevel"/>
    <w:lvl w:ilvl="0">
      <w:lvlJc w:val="left"/>
      <w:lvlText w:val="%1."/>
      <w:numFmt w:val="upperLetter"/>
      <w:start w:val="1"/>
    </w:lvl>
  </w:abstractNum>
  <w:abstractNum w:abstractNumId="111">
    <w:nsid w:val="57C7D42D"/>
    <w:multiLevelType w:val="hybridMultilevel"/>
    <w:lvl w:ilvl="0">
      <w:lvlJc w:val="left"/>
      <w:lvlText w:val="%1."/>
      <w:numFmt w:val="upperLetter"/>
      <w:start w:val="2"/>
    </w:lvl>
  </w:abstractNum>
  <w:abstractNum w:abstractNumId="112">
    <w:nsid w:val="312167AD"/>
    <w:multiLevelType w:val="hybridMultilevel"/>
    <w:lvl w:ilvl="0">
      <w:lvlJc w:val="left"/>
      <w:lvlText w:val="●"/>
      <w:numFmt w:val="bullet"/>
      <w:start w:val="1"/>
    </w:lvl>
  </w:abstractNum>
  <w:abstractNum w:abstractNumId="113">
    <w:nsid w:val="631B64D4"/>
    <w:multiLevelType w:val="hybridMultilevel"/>
    <w:lvl w:ilvl="0">
      <w:lvlJc w:val="left"/>
      <w:lvlText w:val="●"/>
      <w:numFmt w:val="bullet"/>
      <w:start w:val="1"/>
    </w:lvl>
  </w:abstractNum>
  <w:abstractNum w:abstractNumId="114">
    <w:nsid w:val="78B5E776"/>
    <w:multiLevelType w:val="hybridMultilevel"/>
    <w:lvl w:ilvl="0">
      <w:lvlJc w:val="left"/>
      <w:lvlText w:val="●"/>
      <w:numFmt w:val="bullet"/>
      <w:start w:val="1"/>
    </w:lvl>
  </w:abstractNum>
  <w:abstractNum w:abstractNumId="115">
    <w:nsid w:val="75486E47"/>
    <w:multiLevelType w:val="hybridMultilevel"/>
    <w:lvl w:ilvl="0">
      <w:lvlJc w:val="left"/>
      <w:lvlText w:val="●"/>
      <w:numFmt w:val="bullet"/>
      <w:start w:val="1"/>
    </w:lvl>
  </w:abstractNum>
  <w:abstractNum w:abstractNumId="116">
    <w:nsid w:val="6E534CDE"/>
    <w:multiLevelType w:val="hybridMultilevel"/>
    <w:lvl w:ilvl="0">
      <w:lvlJc w:val="left"/>
      <w:lvlText w:val="●"/>
      <w:numFmt w:val="bullet"/>
      <w:start w:val="1"/>
    </w:lvl>
  </w:abstractNum>
  <w:abstractNum w:abstractNumId="117">
    <w:nsid w:val="1A0DDE32"/>
    <w:multiLevelType w:val="hybridMultilevel"/>
    <w:lvl w:ilvl="0">
      <w:lvlJc w:val="left"/>
      <w:lvlText w:val="●"/>
      <w:numFmt w:val="bullet"/>
      <w:start w:val="1"/>
    </w:lvl>
  </w:abstractNum>
  <w:abstractNum w:abstractNumId="118">
    <w:nsid w:val="65968C1C"/>
    <w:multiLevelType w:val="hybridMultilevel"/>
    <w:lvl w:ilvl="0">
      <w:lvlJc w:val="left"/>
      <w:lvlText w:val="●"/>
      <w:numFmt w:val="bullet"/>
      <w:start w:val="1"/>
    </w:lvl>
  </w:abstractNum>
  <w:abstractNum w:abstractNumId="119">
    <w:nsid w:val="46263DEC"/>
    <w:multiLevelType w:val="hybridMultilevel"/>
    <w:lvl w:ilvl="0">
      <w:lvlJc w:val="left"/>
      <w:lvlText w:val="●"/>
      <w:numFmt w:val="bullet"/>
      <w:start w:val="1"/>
    </w:lvl>
  </w:abstractNum>
  <w:abstractNum w:abstractNumId="120">
    <w:nsid w:val="260D8C4A"/>
    <w:multiLevelType w:val="hybridMultilevel"/>
    <w:lvl w:ilvl="0">
      <w:lvlJc w:val="left"/>
      <w:lvlText w:val="%1."/>
      <w:numFmt w:val="decimal"/>
      <w:start w:val="1"/>
    </w:lvl>
  </w:abstractNum>
  <w:abstractNum w:abstractNumId="121">
    <w:nsid w:val="73D4D3C4"/>
    <w:multiLevelType w:val="hybridMultilevel"/>
    <w:lvl w:ilvl="0">
      <w:lvlJc w:val="left"/>
      <w:lvlText w:val="*"/>
      <w:numFmt w:val="bullet"/>
      <w:start w:val="1"/>
    </w:lvl>
  </w:abstractNum>
  <w:abstractNum w:abstractNumId="122">
    <w:nsid w:val="746F2E30"/>
    <w:multiLevelType w:val="hybridMultilevel"/>
    <w:lvl w:ilvl="0">
      <w:lvlJc w:val="left"/>
      <w:lvlText w:val="●"/>
      <w:numFmt w:val="bullet"/>
      <w:start w:val="1"/>
    </w:lvl>
  </w:abstractNum>
  <w:abstractNum w:abstractNumId="123">
    <w:nsid w:val="6FDE8AF6"/>
    <w:multiLevelType w:val="hybridMultilevel"/>
    <w:lvl w:ilvl="0">
      <w:lvlJc w:val="left"/>
      <w:lvlText w:val="●"/>
      <w:numFmt w:val="bullet"/>
      <w:start w:val="1"/>
    </w:lvl>
  </w:abstractNum>
  <w:abstractNum w:abstractNumId="124">
    <w:nsid w:val="3FC32E20"/>
    <w:multiLevelType w:val="hybridMultilevel"/>
    <w:lvl w:ilvl="0">
      <w:lvlJc w:val="left"/>
      <w:lvlText w:val="●"/>
      <w:numFmt w:val="bullet"/>
      <w:start w:val="1"/>
    </w:lvl>
  </w:abstractNum>
  <w:abstractNum w:abstractNumId="125">
    <w:nsid w:val="49C0E823"/>
    <w:multiLevelType w:val="hybridMultilevel"/>
    <w:lvl w:ilvl="0">
      <w:lvlJc w:val="left"/>
      <w:lvlText w:val="●"/>
      <w:numFmt w:val="bullet"/>
      <w:start w:val="1"/>
    </w:lvl>
  </w:abstractNum>
  <w:abstractNum w:abstractNumId="126">
    <w:nsid w:val="14D53685"/>
    <w:multiLevelType w:val="hybridMultilevel"/>
    <w:lvl w:ilvl="0">
      <w:lvlJc w:val="left"/>
      <w:lvlText w:val="&amp;"/>
      <w:numFmt w:val="bullet"/>
      <w:start w:val="1"/>
    </w:lvl>
  </w:abstractNum>
  <w:abstractNum w:abstractNumId="127">
    <w:nsid w:val="230F856C"/>
    <w:multiLevelType w:val="hybridMultilevel"/>
    <w:lvl w:ilvl="0">
      <w:lvlJc w:val="left"/>
      <w:lvlText w:val="*"/>
      <w:numFmt w:val="bullet"/>
      <w:start w:val="1"/>
    </w:lvl>
  </w:abstractNum>
  <w:abstractNum w:abstractNumId="128">
    <w:nsid w:val="6EAA85FB"/>
    <w:multiLevelType w:val="hybridMultilevel"/>
    <w:lvl w:ilvl="0">
      <w:lvlJc w:val="left"/>
      <w:lvlText w:val="(%1)"/>
      <w:numFmt w:val="decimal"/>
      <w:start w:val="1"/>
    </w:lvl>
  </w:abstractNum>
  <w:abstractNum w:abstractNumId="129">
    <w:nsid w:val="3F06ECB2"/>
    <w:multiLevelType w:val="hybridMultilevel"/>
    <w:lvl w:ilvl="0">
      <w:lvlJc w:val="left"/>
      <w:lvlText w:val="●"/>
      <w:numFmt w:val="bullet"/>
      <w:start w:val="1"/>
    </w:lvl>
  </w:abstractNum>
  <w:abstractNum w:abstractNumId="130">
    <w:nsid w:val="3B594807"/>
    <w:multiLevelType w:val="hybridMultilevel"/>
    <w:lvl w:ilvl="0">
      <w:lvlJc w:val="left"/>
      <w:lvlText w:val="*"/>
      <w:numFmt w:val="bullet"/>
      <w:start w:val="1"/>
    </w:lvl>
  </w:abstractNum>
  <w:abstractNum w:abstractNumId="131">
    <w:nsid w:val="6CAA2304"/>
    <w:multiLevelType w:val="hybridMultilevel"/>
    <w:lvl w:ilvl="0">
      <w:lvlJc w:val="left"/>
      <w:lvlText w:val="(%1)"/>
      <w:numFmt w:val="decimal"/>
      <w:start w:val="1"/>
    </w:lvl>
  </w:abstractNum>
  <w:abstractNum w:abstractNumId="132">
    <w:nsid w:val="3F7C2FF4"/>
    <w:multiLevelType w:val="hybridMultilevel"/>
    <w:lvl w:ilvl="0">
      <w:lvlJc w:val="left"/>
      <w:lvlText w:val="(%1)"/>
      <w:numFmt w:val="decimal"/>
      <w:start w:val="3"/>
    </w:lvl>
  </w:abstractNum>
  <w:abstractNum w:abstractNumId="133">
    <w:nsid w:val="25413BEC"/>
    <w:multiLevelType w:val="hybridMultilevel"/>
    <w:lvl w:ilvl="0">
      <w:lvlJc w:val="left"/>
      <w:lvlText w:val="●"/>
      <w:numFmt w:val="bullet"/>
      <w:start w:val="1"/>
    </w:lvl>
  </w:abstractNum>
  <w:abstractNum w:abstractNumId="134">
    <w:nsid w:val="17180B0B"/>
    <w:multiLevelType w:val="hybridMultilevel"/>
    <w:lvl w:ilvl="0">
      <w:lvlJc w:val="left"/>
      <w:lvlText w:val="(%1)"/>
      <w:numFmt w:val="decimal"/>
      <w:start w:val="1"/>
    </w:lvl>
  </w:abstractNum>
  <w:abstractNum w:abstractNumId="135">
    <w:nsid w:val="579328B9"/>
    <w:multiLevelType w:val="hybridMultilevel"/>
    <w:lvl w:ilvl="0">
      <w:lvlJc w:val="left"/>
      <w:lvlText w:val="**"/>
      <w:numFmt w:val="bullet"/>
      <w:start w:val="1"/>
    </w:lvl>
  </w:abstractNum>
  <w:abstractNum w:abstractNumId="136">
    <w:nsid w:val="5D205E20"/>
    <w:multiLevelType w:val="hybridMultilevel"/>
    <w:lvl w:ilvl="0">
      <w:lvlJc w:val="left"/>
      <w:lvlText w:val="(%1)"/>
      <w:numFmt w:val="decimal"/>
      <w:start w:val="1"/>
    </w:lvl>
  </w:abstractNum>
  <w:abstractNum w:abstractNumId="137">
    <w:nsid w:val="11CCA8BA"/>
    <w:multiLevelType w:val="hybridMultilevel"/>
    <w:lvl w:ilvl="0">
      <w:lvlJc w:val="left"/>
      <w:lvlText w:val="(%1)"/>
      <w:numFmt w:val="decimal"/>
      <w:start w:val="2"/>
    </w:lvl>
  </w:abstractNum>
  <w:abstractNum w:abstractNumId="138">
    <w:nsid w:val="4D32AB86"/>
    <w:multiLevelType w:val="hybridMultilevel"/>
    <w:lvl w:ilvl="0">
      <w:lvlJc w:val="left"/>
      <w:lvlText w:val="●"/>
      <w:numFmt w:val="bullet"/>
      <w:start w:val="1"/>
    </w:lvl>
  </w:abstractNum>
  <w:abstractNum w:abstractNumId="139">
    <w:nsid w:val="3F07ACC3"/>
    <w:multiLevelType w:val="hybridMultilevel"/>
    <w:lvl w:ilvl="0">
      <w:lvlJc w:val="left"/>
      <w:lvlText w:val="●"/>
      <w:numFmt w:val="bullet"/>
      <w:start w:val="1"/>
    </w:lvl>
  </w:abstractNum>
  <w:abstractNum w:abstractNumId="140">
    <w:nsid w:val="6B47F63E"/>
    <w:multiLevelType w:val="hybridMultilevel"/>
    <w:lvl w:ilvl="0">
      <w:lvlJc w:val="left"/>
      <w:lvlText w:val="●"/>
      <w:numFmt w:val="bullet"/>
      <w:start w:val="1"/>
    </w:lvl>
  </w:abstractNum>
  <w:abstractNum w:abstractNumId="141">
    <w:nsid w:val="5CB44A05"/>
    <w:multiLevelType w:val="hybridMultilevel"/>
    <w:lvl w:ilvl="0">
      <w:lvlJc w:val="left"/>
      <w:lvlText w:val="●"/>
      <w:numFmt w:val="bullet"/>
      <w:start w:val="1"/>
    </w:lvl>
  </w:abstractNum>
  <w:abstractNum w:abstractNumId="142">
    <w:nsid w:val="16CF80F1"/>
    <w:multiLevelType w:val="hybridMultilevel"/>
    <w:lvl w:ilvl="0">
      <w:lvlJc w:val="left"/>
      <w:lvlText w:val="●"/>
      <w:numFmt w:val="bullet"/>
      <w:start w:val="1"/>
    </w:lvl>
  </w:abstractNum>
  <w:abstractNum w:abstractNumId="143">
    <w:nsid w:val="1C695DEC"/>
    <w:multiLevelType w:val="hybridMultilevel"/>
    <w:lvl w:ilvl="0">
      <w:lvlJc w:val="left"/>
      <w:lvlText w:val="●"/>
      <w:numFmt w:val="bullet"/>
      <w:start w:val="1"/>
    </w:lvl>
  </w:abstractNum>
  <w:abstractNum w:abstractNumId="144">
    <w:nsid w:val="3FCFAED9"/>
    <w:multiLevelType w:val="hybridMultilevel"/>
    <w:lvl w:ilvl="0">
      <w:lvlJc w:val="left"/>
      <w:lvlText w:val="●"/>
      <w:numFmt w:val="bullet"/>
      <w:start w:val="1"/>
    </w:lvl>
  </w:abstractNum>
  <w:abstractNum w:abstractNumId="145">
    <w:nsid w:val="F856867"/>
    <w:multiLevelType w:val="hybridMultilevel"/>
    <w:lvl w:ilvl="0">
      <w:lvlJc w:val="left"/>
      <w:lvlText w:val="●"/>
      <w:numFmt w:val="bullet"/>
      <w:start w:val="1"/>
    </w:lvl>
  </w:abstractNum>
  <w:abstractNum w:abstractNumId="146">
    <w:nsid w:val="11B1CC33"/>
    <w:multiLevelType w:val="hybridMultilevel"/>
    <w:lvl w:ilvl="0">
      <w:lvlJc w:val="left"/>
      <w:lvlText w:val="*"/>
      <w:numFmt w:val="bullet"/>
      <w:start w:val="1"/>
    </w:lvl>
  </w:abstractNum>
  <w:abstractNum w:abstractNumId="147">
    <w:nsid w:val="2E22FBB7"/>
    <w:multiLevelType w:val="hybridMultilevel"/>
    <w:lvl w:ilvl="0">
      <w:lvlJc w:val="left"/>
      <w:lvlText w:val="(%1)"/>
      <w:numFmt w:val="decimal"/>
      <w:start w:val="1"/>
    </w:lvl>
  </w:abstractNum>
  <w:abstractNum w:abstractNumId="148">
    <w:nsid w:val="29934699"/>
    <w:multiLevelType w:val="hybridMultilevel"/>
    <w:lvl w:ilvl="0">
      <w:lvlJc w:val="left"/>
      <w:lvlText w:val="●"/>
      <w:numFmt w:val="bullet"/>
      <w:start w:val="1"/>
    </w:lvl>
  </w:abstractNum>
  <w:abstractNum w:abstractNumId="149">
    <w:nsid w:val="77485850"/>
    <w:multiLevelType w:val="hybridMultilevel"/>
    <w:lvl w:ilvl="0">
      <w:lvlJc w:val="left"/>
      <w:lvlText w:val="●"/>
      <w:numFmt w:val="bullet"/>
      <w:start w:val="1"/>
    </w:lvl>
  </w:abstractNum>
  <w:abstractNum w:abstractNumId="150">
    <w:nsid w:val="744939A3"/>
    <w:multiLevelType w:val="hybridMultilevel"/>
    <w:lvl w:ilvl="0">
      <w:lvlJc w:val="left"/>
      <w:lvlText w:val="(%1)"/>
      <w:numFmt w:val="decimal"/>
      <w:start w:val="1"/>
    </w:lvl>
  </w:abstractNum>
  <w:abstractNum w:abstractNumId="151">
    <w:nsid w:val="4FA0D2E3"/>
    <w:multiLevelType w:val="hybridMultilevel"/>
    <w:lvl w:ilvl="0">
      <w:lvlJc w:val="left"/>
      <w:lvlText w:val="●"/>
      <w:numFmt w:val="bullet"/>
      <w:start w:val="1"/>
    </w:lvl>
  </w:abstractNum>
  <w:abstractNum w:abstractNumId="152">
    <w:nsid w:val="6B1D2C14"/>
    <w:multiLevelType w:val="hybridMultilevel"/>
    <w:lvl w:ilvl="0">
      <w:lvlJc w:val="left"/>
      <w:lvlText w:val="●"/>
      <w:numFmt w:val="bullet"/>
      <w:start w:val="1"/>
    </w:lvl>
  </w:abstractNum>
  <w:abstractNum w:abstractNumId="153">
    <w:nsid w:val="68B867D3"/>
    <w:multiLevelType w:val="hybridMultilevel"/>
    <w:lvl w:ilvl="0">
      <w:lvlJc w:val="left"/>
      <w:lvlText w:val="●"/>
      <w:numFmt w:val="bullet"/>
      <w:start w:val="1"/>
    </w:lvl>
  </w:abstractNum>
  <w:abstractNum w:abstractNumId="154">
    <w:nsid w:val="3F7F5DD9"/>
    <w:multiLevelType w:val="hybridMultilevel"/>
    <w:lvl w:ilvl="0">
      <w:lvlJc w:val="left"/>
      <w:lvlText w:val="●"/>
      <w:numFmt w:val="bullet"/>
      <w:start w:val="1"/>
    </w:lvl>
  </w:abstractNum>
  <w:abstractNum w:abstractNumId="155">
    <w:nsid w:val="2AE05A34"/>
    <w:multiLevelType w:val="hybridMultilevel"/>
    <w:lvl w:ilvl="0">
      <w:lvlJc w:val="left"/>
      <w:lvlText w:val="●"/>
      <w:numFmt w:val="bullet"/>
      <w:start w:val="1"/>
    </w:lvl>
  </w:abstractNum>
  <w:abstractNum w:abstractNumId="156">
    <w:nsid w:val="32794FF7"/>
    <w:multiLevelType w:val="hybridMultilevel"/>
    <w:lvl w:ilvl="0">
      <w:lvlJc w:val="left"/>
      <w:lvlText w:val="(%1)"/>
      <w:numFmt w:val="lowerRoman"/>
      <w:start w:val="2"/>
    </w:lvl>
  </w:abstractNum>
  <w:abstractNum w:abstractNumId="157">
    <w:nsid w:val="5454945E"/>
    <w:multiLevelType w:val="hybridMultilevel"/>
    <w:lvl w:ilvl="0">
      <w:lvlJc w:val="left"/>
      <w:lvlText w:val="(%1)"/>
      <w:numFmt w:val="lowerRoman"/>
      <w:start w:val="1"/>
    </w:lvl>
  </w:abstractNum>
  <w:abstractNum w:abstractNumId="158">
    <w:nsid w:val="4DEFDFA0"/>
    <w:multiLevelType w:val="hybridMultilevel"/>
    <w:lvl w:ilvl="0">
      <w:lvlJc w:val="left"/>
      <w:lvlText w:val="(%1)"/>
      <w:numFmt w:val="decimal"/>
      <w:start w:val="1"/>
    </w:lvl>
  </w:abstractNum>
  <w:abstractNum w:abstractNumId="159">
    <w:nsid w:val="2123D5F2"/>
    <w:multiLevelType w:val="hybridMultilevel"/>
    <w:lvl w:ilvl="0">
      <w:lvlJc w:val="left"/>
      <w:lvlText w:val="●"/>
      <w:numFmt w:val="bullet"/>
      <w:start w:val="1"/>
    </w:lvl>
  </w:abstractNum>
  <w:abstractNum w:abstractNumId="160">
    <w:nsid w:val="135B8110"/>
    <w:multiLevelType w:val="hybridMultilevel"/>
    <w:lvl w:ilvl="0">
      <w:lvlJc w:val="left"/>
      <w:lvlText w:val="(%1)"/>
      <w:numFmt w:val="lowerLetter"/>
      <w:start w:val="1"/>
    </w:lvl>
  </w:abstractNum>
  <w:abstractNum w:abstractNumId="161">
    <w:nsid w:val="94927A8"/>
    <w:multiLevelType w:val="hybridMultilevel"/>
    <w:lvl w:ilvl="0">
      <w:lvlJc w:val="left"/>
      <w:lvlText w:val="(%1)"/>
      <w:numFmt w:val="lowerLetter"/>
      <w:start w:val="5"/>
    </w:lvl>
  </w:abstractNum>
  <w:abstractNum w:abstractNumId="162">
    <w:nsid w:val="DCDF8F6"/>
    <w:multiLevelType w:val="hybridMultilevel"/>
    <w:lvl w:ilvl="0">
      <w:lvlJc w:val="left"/>
      <w:lvlText w:val="(%1)"/>
      <w:numFmt w:val="lowerLetter"/>
      <w:start w:val="8"/>
    </w:lvl>
  </w:abstractNum>
  <w:abstractNum w:abstractNumId="163">
    <w:nsid w:val="52D7B105"/>
    <w:multiLevelType w:val="hybridMultilevel"/>
    <w:lvl w:ilvl="0">
      <w:lvlJc w:val="left"/>
      <w:lvlText w:val="(%1)"/>
      <w:numFmt w:val="lowerLetter"/>
      <w:start w:val="10"/>
    </w:lvl>
  </w:abstractNum>
  <w:abstractNum w:abstractNumId="164">
    <w:nsid w:val="2E8A6394"/>
    <w:multiLevelType w:val="hybridMultilevel"/>
    <w:lvl w:ilvl="0">
      <w:lvlJc w:val="left"/>
      <w:lvlText w:val="(%1)"/>
      <w:numFmt w:val="lowerRoman"/>
      <w:start w:val="1"/>
    </w:lvl>
  </w:abstractNum>
  <w:abstractNum w:abstractNumId="165">
    <w:nsid w:val="24E60401"/>
    <w:multiLevelType w:val="hybridMultilevel"/>
    <w:lvl w:ilvl="0">
      <w:lvlJc w:val="left"/>
      <w:lvlText w:val="(%1)"/>
      <w:numFmt w:val="lowerRoman"/>
      <w:start w:val="4"/>
    </w:lvl>
  </w:abstractNum>
  <w:abstractNum w:abstractNumId="166">
    <w:nsid w:val="2A6AD9BE"/>
    <w:multiLevelType w:val="hybridMultilevel"/>
    <w:lvl w:ilvl="0">
      <w:lvlJc w:val="left"/>
      <w:lvlText w:val="(%1)"/>
      <w:numFmt w:val="lowerRoman"/>
      <w:start w:val="1"/>
    </w:lvl>
  </w:abstractNum>
  <w:abstractNum w:abstractNumId="167">
    <w:nsid w:val="BAAC1B4"/>
    <w:multiLevelType w:val="hybridMultilevel"/>
    <w:lvl w:ilvl="0">
      <w:lvlJc w:val="left"/>
      <w:lvlText w:val="(%1)"/>
      <w:numFmt w:val="decimal"/>
      <w:start w:val="1"/>
    </w:lvl>
    <w:lvl w:ilvl="1">
      <w:lvlJc w:val="left"/>
      <w:lvlText w:val="(%2)"/>
      <w:numFmt w:val="lowerLetter"/>
      <w:start w:val="1"/>
    </w:lvl>
  </w:abstractNum>
  <w:abstractNum w:abstractNumId="168">
    <w:nsid w:val="36B2ACBC"/>
    <w:multiLevelType w:val="hybridMultilevel"/>
    <w:lvl w:ilvl="0">
      <w:lvlJc w:val="left"/>
      <w:lvlText w:val="%1"/>
      <w:numFmt w:val="decimal"/>
      <w:start w:val="1"/>
    </w:lvl>
    <w:lvl w:ilvl="1">
      <w:lvlJc w:val="left"/>
      <w:lvlText w:val="(%2)"/>
      <w:numFmt w:val="lowerLetter"/>
      <w:start w:val="2"/>
    </w:lvl>
  </w:abstractNum>
  <w:abstractNum w:abstractNumId="169">
    <w:nsid w:val="779D8544"/>
    <w:multiLevelType w:val="hybridMultilevel"/>
    <w:lvl w:ilvl="0">
      <w:lvlJc w:val="left"/>
      <w:lvlText w:val="(%1)"/>
      <w:numFmt w:val="decimal"/>
      <w:start w:val="3"/>
    </w:lvl>
    <w:lvl w:ilvl="1">
      <w:lvlJc w:val="left"/>
      <w:lvlText w:val="%2"/>
      <w:numFmt w:val="lowerLetter"/>
      <w:start w:val="1"/>
    </w:lvl>
  </w:abstractNum>
  <w:abstractNum w:abstractNumId="170">
    <w:nsid w:val="4AB26E78"/>
    <w:multiLevelType w:val="hybridMultilevel"/>
    <w:lvl w:ilvl="0">
      <w:lvlJc w:val="left"/>
      <w:lvlText w:val="(%1)"/>
      <w:numFmt w:val="lowerLetter"/>
      <w:start w:val="1"/>
    </w:lvl>
  </w:abstractNum>
  <w:abstractNum w:abstractNumId="171">
    <w:nsid w:val="21FAA2FA"/>
    <w:multiLevelType w:val="hybridMultilevel"/>
    <w:lvl w:ilvl="0">
      <w:lvlJc w:val="left"/>
      <w:lvlText w:val="%1"/>
      <w:numFmt w:val="decimal"/>
      <w:start w:val="107"/>
    </w:lvl>
  </w:abstractNum>
  <w:abstractNum w:abstractNumId="172">
    <w:nsid w:val="5451CF49"/>
    <w:multiLevelType w:val="hybridMultilevel"/>
    <w:lvl w:ilvl="0">
      <w:lvlJc w:val="left"/>
      <w:lvlText w:val="#"/>
      <w:numFmt w:val="bullet"/>
      <w:start w:val="1"/>
    </w:lvl>
  </w:abstractNum>
  <w:abstractNum w:abstractNumId="173">
    <w:nsid w:val="6181EF69"/>
    <w:multiLevelType w:val="hybridMultilevel"/>
    <w:lvl w:ilvl="0">
      <w:lvlJc w:val="left"/>
      <w:lvlText w:val="##"/>
      <w:numFmt w:val="bullet"/>
      <w:start w:val="1"/>
    </w:lvl>
  </w:abstractNum>
  <w:abstractNum w:abstractNumId="174">
    <w:nsid w:val="3E6400E6"/>
    <w:multiLevelType w:val="hybridMultilevel"/>
    <w:lvl w:ilvl="0">
      <w:lvlJc w:val="left"/>
      <w:lvlText w:val="*****"/>
      <w:numFmt w:val="bullet"/>
      <w:start w:val="1"/>
    </w:lvl>
  </w:abstractNum>
  <w:abstractNum w:abstractNumId="175">
    <w:nsid w:val="14217E23"/>
    <w:multiLevelType w:val="hybridMultilevel"/>
    <w:lvl w:ilvl="0">
      <w:lvlJc w:val="left"/>
      <w:lvlText w:val="****"/>
      <w:numFmt w:val="bullet"/>
      <w:start w:val="1"/>
    </w:lvl>
  </w:abstractNum>
  <w:abstractNum w:abstractNumId="176">
    <w:nsid w:val="710757D0"/>
    <w:multiLevelType w:val="hybridMultilevel"/>
    <w:lvl w:ilvl="0">
      <w:lvlJc w:val="left"/>
      <w:lvlText w:val="***"/>
      <w:numFmt w:val="bullet"/>
      <w:start w:val="1"/>
    </w:lvl>
  </w:abstractNum>
  <w:abstractNum w:abstractNumId="177">
    <w:nsid w:val="5015CD1A"/>
    <w:multiLevelType w:val="hybridMultilevel"/>
    <w:lvl w:ilvl="0">
      <w:lvlJc w:val="left"/>
      <w:lvlText w:val="**"/>
      <w:numFmt w:val="bullet"/>
      <w:start w:val="1"/>
    </w:lvl>
  </w:abstractNum>
  <w:abstractNum w:abstractNumId="178">
    <w:nsid w:val="424479DA"/>
    <w:multiLevelType w:val="hybridMultilevel"/>
    <w:lvl w:ilvl="0">
      <w:lvlJc w:val="left"/>
      <w:lvlText w:val="*"/>
      <w:numFmt w:val="bullet"/>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jpe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7" Type="http://schemas.openxmlformats.org/officeDocument/2006/relationships/image" Target="media/image384.png"/><Relationship Id="rId400" Type="http://schemas.openxmlformats.org/officeDocument/2006/relationships/image" Target="media/image385.png"/><Relationship Id="rId403" Type="http://schemas.openxmlformats.org/officeDocument/2006/relationships/image" Target="media/image386.png"/><Relationship Id="rId406" Type="http://schemas.openxmlformats.org/officeDocument/2006/relationships/image" Target="media/image387.png"/><Relationship Id="rId409" Type="http://schemas.openxmlformats.org/officeDocument/2006/relationships/image" Target="media/image388.png"/><Relationship Id="rId412" Type="http://schemas.openxmlformats.org/officeDocument/2006/relationships/image" Target="media/image389.png"/><Relationship Id="rId415" Type="http://schemas.openxmlformats.org/officeDocument/2006/relationships/image" Target="media/image390.png"/><Relationship Id="rId417" Type="http://schemas.openxmlformats.org/officeDocument/2006/relationships/image" Target="media/image391.png"/><Relationship Id="rId420" Type="http://schemas.openxmlformats.org/officeDocument/2006/relationships/image" Target="media/image392.png"/><Relationship Id="rId423" Type="http://schemas.openxmlformats.org/officeDocument/2006/relationships/image" Target="media/image393.png"/><Relationship Id="rId426"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3" Type="http://schemas.openxmlformats.org/officeDocument/2006/relationships/image" Target="media/image398.png"/><Relationship Id="rId436" Type="http://schemas.openxmlformats.org/officeDocument/2006/relationships/image" Target="media/image399.png"/><Relationship Id="rId439" Type="http://schemas.openxmlformats.org/officeDocument/2006/relationships/image" Target="media/image400.png"/><Relationship Id="rId441" Type="http://schemas.openxmlformats.org/officeDocument/2006/relationships/image" Target="media/image401.png"/><Relationship Id="rId453"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jpeg"/><Relationship Id="rId333" Type="http://schemas.openxmlformats.org/officeDocument/2006/relationships/hyperlink" Target="http://www.sec.gov/ix?doc=/Archives/edgar/data/1734005/000121390026035484/ea0281612-20f_aptorum.htm" TargetMode="External"/><Relationship Id="rId334" Type="http://schemas.openxmlformats.org/officeDocument/2006/relationships/hyperlink" Target="http://www.sec.gov/ix?doc=/Archives/edgar/data/1734005/000121390026056820/ea0290494-01.htm" TargetMode="External"/><Relationship Id="rId335" Type="http://schemas.openxmlformats.org/officeDocument/2006/relationships/hyperlink" Target="http://www.sec.gov/Archives/edgar/data/1734005/000121390018017387/f8a12b120318_aptorumgroup.htm" TargetMode="External"/><Relationship Id="rId338" Type="http://schemas.openxmlformats.org/officeDocument/2006/relationships/hyperlink" Target="http://www.sec.gov/ix?doc=/Archives/edgar/data/1734005/000121390026036520/ea0248625-07.htm" TargetMode="External"/><Relationship Id="rId339" Type="http://schemas.openxmlformats.org/officeDocument/2006/relationships/hyperlink" Target="http://www.sec.gov/ix?doc=/Archives/edgar/data/1734005/000121390026037563/ea0284133-6k_aptorum.htm" TargetMode="External"/><Relationship Id="rId396" Type="http://schemas.openxmlformats.org/officeDocument/2006/relationships/hyperlink" Target="http://www.sec.gov/Archives/edgar/data/1734005/000121390023033525/f20f2022ex1-2_aptorumgroup.htm" TargetMode="External"/><Relationship Id="rId398" Type="http://schemas.openxmlformats.org/officeDocument/2006/relationships/hyperlink" Target="http://www.sec.gov/Archives/edgar/data/1734005/000121390018012108/ff12018ex4-1_aptorum.htm" TargetMode="External"/><Relationship Id="rId399" Type="http://schemas.openxmlformats.org/officeDocument/2006/relationships/hyperlink" Target="http://www.sec.gov/Archives/edgar/data/1734005/000121390020029907/ea127736ex4-1_aptorum.htm" TargetMode="External"/><Relationship Id="rId401" Type="http://schemas.openxmlformats.org/officeDocument/2006/relationships/hyperlink" Target="http://www.sec.gov/Archives/edgar/data/1734005/000121390020029907/ea127736ex4-3_aptorum.htm" TargetMode="External"/><Relationship Id="rId402" Type="http://schemas.openxmlformats.org/officeDocument/2006/relationships/hyperlink" Target="http://www.sec.gov/Archives/edgar/data/1734005/000121390025099575/ea026130601ex99-2_aptorum.htm" TargetMode="External"/><Relationship Id="rId404" Type="http://schemas.openxmlformats.org/officeDocument/2006/relationships/hyperlink" Target="http://www.sec.gov/Archives/edgar/data/1734005/000121390025111548/ea026315101ex4-5_aptorum.htm" TargetMode="External"/><Relationship Id="rId405" Type="http://schemas.openxmlformats.org/officeDocument/2006/relationships/hyperlink" Target="http://www.sec.gov/Archives/edgar/data/1734005/000121390025111548/ea026315101ex5-1_aptorum.htm" TargetMode="External"/><Relationship Id="rId407" Type="http://schemas.openxmlformats.org/officeDocument/2006/relationships/hyperlink" Target="http://www.sec.gov/Archives/edgar/data/1734005/000121390025111548/ea026315101ex5-2_aptorum.htm" TargetMode="External"/><Relationship Id="rId408" Type="http://schemas.openxmlformats.org/officeDocument/2006/relationships/hyperlink" Target="http://www.sec.gov/Archives/edgar/data/1734005/000121390018012108/ff12018ex10-12_aptorum.htm" TargetMode="External"/><Relationship Id="rId410" Type="http://schemas.openxmlformats.org/officeDocument/2006/relationships/hyperlink" Target="http://www.sec.gov/Archives/edgar/data/1734005/000121390018012108/ff12018ex10-13_aptorum.htm" TargetMode="External"/><Relationship Id="rId411" Type="http://schemas.openxmlformats.org/officeDocument/2006/relationships/hyperlink" Target="http://www.sec.gov/Archives/edgar/data/1734005/000121390021060309/ea150652ex99-1_aptorum.htm" TargetMode="External"/><Relationship Id="rId413" Type="http://schemas.openxmlformats.org/officeDocument/2006/relationships/hyperlink" Target="http://www.sec.gov/Archives/edgar/data/1734005/000121390018012108/ff12018ex10-35_aptorum.htm" TargetMode="External"/><Relationship Id="rId414" Type="http://schemas.openxmlformats.org/officeDocument/2006/relationships/hyperlink" Target="http://www.sec.gov/Archives/edgar/data/1734005/000121390018012108/ff12018ex10-32_aptorum.htm" TargetMode="External"/><Relationship Id="rId416" Type="http://schemas.openxmlformats.org/officeDocument/2006/relationships/hyperlink" Target="http://www.sec.gov/Archives/edgar/data/1734005/000121390018012108/ff12018ex10-33_aptorum.htm" TargetMode="External"/><Relationship Id="rId418" Type="http://schemas.openxmlformats.org/officeDocument/2006/relationships/hyperlink" Target="https://www.sec.gov/Archives/edgar/data/1734005/000121390019006328/f20f2018ex4-39_aptorumgroup.htm" TargetMode="External"/><Relationship Id="rId419" Type="http://schemas.openxmlformats.org/officeDocument/2006/relationships/hyperlink" Target="http://www.sec.gov/Archives/edgar/data/1734005/000121390019007008/f6k042419ex10-1_aptorum.htm" TargetMode="External"/><Relationship Id="rId421" Type="http://schemas.openxmlformats.org/officeDocument/2006/relationships/hyperlink" Target="http://www.sec.gov/Archives/edgar/data/1734005/000121390019007008/f6k042419ex10-2_aptorum.htm" TargetMode="External"/><Relationship Id="rId422" Type="http://schemas.openxmlformats.org/officeDocument/2006/relationships/hyperlink" Target="http://www.sec.gov/Archives/edgar/data/1734005/000121390019015761/f6k081419ex10-1_aptorum.htm" TargetMode="External"/><Relationship Id="rId424" Type="http://schemas.openxmlformats.org/officeDocument/2006/relationships/hyperlink" Target="http://www.sec.gov/Archives/edgar/data/1734005/000121390019015761/f6k081419ex10-2_aptorum.htm" TargetMode="External"/><Relationship Id="rId425" Type="http://schemas.openxmlformats.org/officeDocument/2006/relationships/hyperlink" Target="http://www.sec.gov/Archives/edgar/data/1734005/000121390020004797/ea119035ex99-2_aptorumgroup.htm" TargetMode="External"/><Relationship Id="rId427" Type="http://schemas.openxmlformats.org/officeDocument/2006/relationships/hyperlink" Target="http://www.sec.gov/Archives/edgar/data/1734005/000121390020004797/ea119035ex99-3_aptorumgroup.htm" TargetMode="External"/><Relationship Id="rId431" Type="http://schemas.openxmlformats.org/officeDocument/2006/relationships/hyperlink" Target="http://www.sec.gov/Archives/edgar/data/1734005/000121390021018040/ea138489ex10-1_aptorum.htm" TargetMode="External"/><Relationship Id="rId432" Type="http://schemas.openxmlformats.org/officeDocument/2006/relationships/hyperlink" Target="http://www.sec.gov/Archives/edgar/data/1734005/000121390021021984/f20f2020ex4-64_aptorumgroup.htm" TargetMode="External"/><Relationship Id="rId434" Type="http://schemas.openxmlformats.org/officeDocument/2006/relationships/hyperlink" Target="http://www.sec.gov/Archives/edgar/data/1734005/000121390021029202/ea141720ex10-1_aptorum.htm" TargetMode="External"/><Relationship Id="rId435" Type="http://schemas.openxmlformats.org/officeDocument/2006/relationships/hyperlink" Target="http://www.sec.gov/Archives/edgar/data/1734005/000121390022078577/ea169770ex10-1_aptorum.htm" TargetMode="External"/><Relationship Id="rId437" Type="http://schemas.openxmlformats.org/officeDocument/2006/relationships/hyperlink" Target="http://www.sec.gov/Archives/edgar/data/1734005/000121390023022946/ea175787ex99-1_aptorum.htm" TargetMode="External"/><Relationship Id="rId438" Type="http://schemas.openxmlformats.org/officeDocument/2006/relationships/hyperlink" Target="http://www.sec.gov/Archives/edgar/data/1734005/000121390023075760/ea184688ex10-1_aptorum.htm" TargetMode="External"/><Relationship Id="rId440" Type="http://schemas.openxmlformats.org/officeDocument/2006/relationships/hyperlink" Target="http://www.sec.gov/Archives/edgar/data/1734005/000121390023053553/ea180980ex10-1_aptorum.htm" TargetMode="External"/><Relationship Id="rId442" Type="http://schemas.openxmlformats.org/officeDocument/2006/relationships/hyperlink" Target="http://www.sec.gov/Archives/edgar/data/1734005/000121390025001378/ea022671301ex10-1_aptorum.htm" TargetMode="External"/><Relationship Id="rId443" Type="http://schemas.openxmlformats.org/officeDocument/2006/relationships/hyperlink" Target="http://www.sec.gov/Archives/edgar/data/1734005/000121390025066642/ea024961501ex2-1_aptorum.htm" TargetMode="External"/><Relationship Id="rId444" Type="http://schemas.openxmlformats.org/officeDocument/2006/relationships/hyperlink" Target="http://www.sec.gov/Archives/edgar/data/1734005/000121390025066642/ea024961501ex10-1_aptorum.htm" TargetMode="External"/><Relationship Id="rId445" Type="http://schemas.openxmlformats.org/officeDocument/2006/relationships/hyperlink" Target="http://www.sec.gov/Archives/edgar/data/1734005/000121390025066642/ea024961501ex10-3_aptorum.htm" TargetMode="External"/><Relationship Id="rId446" Type="http://schemas.openxmlformats.org/officeDocument/2006/relationships/hyperlink" Target="http://www.sec.gov/Archives/edgar/data/1734005/000121390025066642/ea024961501ex10-4_aptorum.htm" TargetMode="External"/><Relationship Id="rId447" Type="http://schemas.openxmlformats.org/officeDocument/2006/relationships/hyperlink" Target="http://www.sec.gov/Archives/edgar/data/1734005/000121390025066642/ea024961501ex10-2_aptorum.htm" TargetMode="External"/><Relationship Id="rId448" Type="http://schemas.openxmlformats.org/officeDocument/2006/relationships/hyperlink" Target="http://www.sec.gov/Archives/edgar/data/1734005/000121390025099575/ea026130601ex99-1_aptorum.htm" TargetMode="External"/><Relationship Id="rId449" Type="http://schemas.openxmlformats.org/officeDocument/2006/relationships/hyperlink" Target="http://www.sec.gov/Archives/edgar/data/1734005/000121390025099575/ea026130601ex99-3_aptorum.htm" TargetMode="External"/><Relationship Id="rId450" Type="http://schemas.openxmlformats.org/officeDocument/2006/relationships/hyperlink" Target="https://www.sec.gov/Archives/edgar/data/1734005/000121390026034753/ea028217201-6ka_aptorum.htm" TargetMode="External"/><Relationship Id="rId451" Type="http://schemas.openxmlformats.org/officeDocument/2006/relationships/hyperlink" Target="http://www.sec.gov/Archives/edgar/data/1734005/000121390023033525/f20f2022ex8-1_aptorumgroup.htm" TargetMode="External"/><Relationship Id="rId452" Type="http://schemas.openxmlformats.org/officeDocument/2006/relationships/hyperlink" Target="http://www.sec.gov/Archives/edgar/data/1734005/000121390018012108/ff12018ex14-1_aptorum.htm" TargetMode="External"/><Relationship Id="rId454" Type="http://schemas.openxmlformats.org/officeDocument/2006/relationships/hyperlink" Target="https://www.sec.gov/ix?doc=/Archives/edgar/data/1734005/000121390025111548/ea026315101ex-fee_aptor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2026-05-29T05:58:23Z</dcterms:created>
  <dcterms:modified xsi:type="dcterms:W3CDTF">2026-05-29T05:58:23Z</dcterms:modified>
</cp:coreProperties>
</file>